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:space="preserve">
  <w:body>
    <w:tbl>
      <w:tblPr>
        <w:tblW w:w="0" w:type="auto"/>
        <w:jc w:val="left"/>
        <w:tblInd w:w="585" w:type="dxa"/>
        <w:tblBorders>
          <w:top w:val="single" w:sz="18" w:space="0" w:color="000000"/>
          <w:left w:val="single" w:sz="18" w:space="0" w:color="000000"/>
          <w:bottom w:val="single" w:sz="18" w:space="0" w:color="000000"/>
          <w:right w:val="single" w:sz="18" w:space="0" w:color="000000"/>
          <w:insideH w:val="single" w:sz="18" w:space="0" w:color="000000"/>
          <w:insideV w:val="single" w:sz="18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4241"/>
        <w:gridCol w:w="5095"/>
      </w:tblGrid>
      <w:tr>
        <w:trPr>
          <w:trHeight w:val="1121" w:hRule="atLeast"/>
        </w:trPr>
        <w:tc>
          <w:tcPr>
            <w:tcW w:w="4241" w:type="dxa"/>
            <w:vMerge w:val="restart"/>
            <w:tcBorders>
              <w:bottom w:val="single" w:sz="8" w:space="0" w:color="000000"/>
              <w:right w:val="single" w:sz="8" w:space="0" w:color="000000"/>
            </w:tcBorders>
          </w:tcPr>
          <w:p>
            <w:pPr>
              <w:pStyle w:val="TableParagraph"/>
              <w:spacing w:before="0"/>
              <w:ind w:left="0"/>
              <w:rPr>
                <w:rFonts w:ascii="Times New Roman"/>
                <w:sz w:val="20"/>
              </w:rPr>
            </w:pPr>
          </w:p>
          <w:p>
            <w:pPr>
              <w:pStyle w:val="TableParagraph"/>
              <w:spacing w:before="0"/>
              <w:ind w:left="0"/>
              <w:rPr>
                <w:rFonts w:ascii="Times New Roman"/>
                <w:sz w:val="20"/>
              </w:rPr>
            </w:pPr>
          </w:p>
          <w:p>
            <w:pPr>
              <w:pStyle w:val="TableParagraph"/>
              <w:spacing w:before="10"/>
              <w:ind w:left="0"/>
              <w:rPr>
                <w:rFonts w:ascii="Times New Roman"/>
                <w:sz w:val="12"/>
              </w:rPr>
            </w:pPr>
          </w:p>
          <w:p>
            <w:pPr>
              <w:pStyle w:val="TableParagraph"/>
              <w:spacing w:before="0"/>
              <w:ind w:left="548"/>
              <w:rPr>
                <w:rFonts w:ascii="Times New Roman"/>
                <w:sz w:val="20"/>
              </w:rPr>
            </w:pPr>
            <w:r>
              <w:rPr>
                <w:rFonts w:ascii="Times New Roman"/>
                <w:sz w:val="20"/>
              </w:rPr>
            </w:r>
            <w:r>
              <w:rPr>
                <w:rFonts w:ascii="Times New Roman"/>
                <w:sz w:val="20"/>
              </w:rPr>
            </w:r>
          </w:p>
        </w:tc>
        <w:tc>
          <w:tcPr>
            <w:tcW w:w="5095" w:type="dxa"/>
            <w:tcBorders>
              <w:left w:val="single" w:sz="8" w:space="0" w:color="000000"/>
              <w:bottom w:val="single" w:sz="8" w:space="0" w:color="000000"/>
            </w:tcBorders>
            <w:shd w:val="clear" w:color="auto" w:fill="E6E6E6"/>
          </w:tcPr>
          <w:p>
            <w:pPr>
              <w:pStyle w:val="TableParagraph"/>
              <w:spacing w:before="8"/>
              <w:ind w:left="0"/>
              <w:rPr>
                <w:rFonts w:ascii="Times New Roman"/>
                <w:sz w:val="28"/>
              </w:rPr>
            </w:pPr>
          </w:p>
          <w:p>
            <w:pPr>
              <w:pStyle w:val="TableParagraph"/>
              <w:spacing w:line="295" w:lineRule="auto" w:before="0"/>
              <w:ind w:left="1705" w:right="418" w:hanging="672"/>
              <w:rPr>
                <w:b/>
                <w:sz w:val="22"/>
              </w:rPr>
            </w:pPr>
            <w:r>
              <w:rPr>
                <w:b/>
                <w:sz w:val="22"/>
              </w:rPr>
              <w:t>IQVIA</w:t>
            </w:r>
            <w:r>
              <w:rPr>
                <w:b/>
                <w:sz w:val="22"/>
                <w:vertAlign w:val="superscript"/>
              </w:rPr>
              <w:t>TM</w:t>
            </w:r>
            <w:r>
              <w:rPr>
                <w:b/>
                <w:spacing w:val="-16"/>
                <w:sz w:val="22"/>
                <w:vertAlign w:val="baseline"/>
              </w:rPr>
              <w:t> </w:t>
            </w:r>
            <w:r>
              <w:rPr>
                <w:b/>
                <w:sz w:val="22"/>
                <w:vertAlign w:val="baseline"/>
              </w:rPr>
              <w:t>Operating</w:t>
            </w:r>
            <w:r>
              <w:rPr>
                <w:b/>
                <w:spacing w:val="-15"/>
                <w:sz w:val="22"/>
                <w:vertAlign w:val="baseline"/>
              </w:rPr>
              <w:t> </w:t>
            </w:r>
            <w:r>
              <w:rPr>
                <w:b/>
                <w:sz w:val="22"/>
                <w:vertAlign w:val="baseline"/>
              </w:rPr>
              <w:t>Procedure Study Close Out</w:t>
            </w:r>
          </w:p>
        </w:tc>
      </w:tr>
      <w:tr>
        <w:trPr>
          <w:trHeight w:val="580" w:hRule="atLeast"/>
        </w:trPr>
        <w:tc>
          <w:tcPr>
            <w:tcW w:w="4241" w:type="dxa"/>
            <w:vMerge/>
            <w:tcBorders>
              <w:top w:val="nil"/>
              <w:bottom w:val="single" w:sz="8" w:space="0" w:color="000000"/>
              <w:right w:val="single" w:sz="8" w:space="0" w:color="000000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50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</w:tcPr>
          <w:p>
            <w:pPr>
              <w:pStyle w:val="TableParagraph"/>
              <w:spacing w:before="37"/>
              <w:ind w:left="121"/>
              <w:rPr>
                <w:b/>
                <w:sz w:val="20"/>
              </w:rPr>
            </w:pPr>
            <w:r>
              <w:rPr>
                <w:b/>
                <w:sz w:val="20"/>
              </w:rPr>
              <w:t>Document</w:t>
            </w:r>
            <w:r>
              <w:rPr>
                <w:b/>
                <w:spacing w:val="-7"/>
                <w:sz w:val="20"/>
              </w:rPr>
              <w:t> </w:t>
            </w:r>
            <w:r>
              <w:rPr>
                <w:b/>
                <w:sz w:val="20"/>
              </w:rPr>
              <w:t>Number</w:t>
            </w:r>
            <w:r>
              <w:rPr>
                <w:b/>
                <w:spacing w:val="-7"/>
                <w:sz w:val="20"/>
              </w:rPr>
              <w:t> </w:t>
            </w:r>
            <w:r>
              <w:rPr>
                <w:b/>
                <w:sz w:val="20"/>
              </w:rPr>
              <w:t>and</w:t>
            </w:r>
            <w:r>
              <w:rPr>
                <w:b/>
                <w:spacing w:val="-6"/>
                <w:sz w:val="20"/>
              </w:rPr>
              <w:t> </w:t>
            </w:r>
            <w:r>
              <w:rPr>
                <w:b/>
                <w:spacing w:val="-2"/>
                <w:sz w:val="20"/>
              </w:rPr>
              <w:t>Revision:</w:t>
            </w:r>
          </w:p>
          <w:p>
            <w:pPr>
              <w:pStyle w:val="TableParagraph"/>
              <w:spacing w:before="44"/>
              <w:ind w:left="121"/>
              <w:rPr>
                <w:sz w:val="20"/>
              </w:rPr>
            </w:pPr>
            <w:r>
              <w:rPr>
                <w:sz w:val="20"/>
              </w:rPr>
              <w:t>CRO_OP_CTS0004</w:t>
            </w:r>
            <w:r>
              <w:rPr>
                <w:spacing w:val="-12"/>
                <w:sz w:val="20"/>
              </w:rPr>
              <w:t> </w:t>
            </w:r>
            <w:r>
              <w:rPr>
                <w:sz w:val="20"/>
              </w:rPr>
              <w:t>Revision</w:t>
            </w:r>
            <w:r>
              <w:rPr>
                <w:spacing w:val="-8"/>
                <w:sz w:val="20"/>
              </w:rPr>
              <w:t> </w:t>
            </w:r>
            <w:r>
              <w:rPr>
                <w:spacing w:val="-10"/>
                <w:sz w:val="20"/>
              </w:rPr>
              <w:t>3</w:t>
            </w:r>
          </w:p>
        </w:tc>
      </w:tr>
      <w:tr>
        <w:trPr>
          <w:trHeight w:val="809" w:hRule="atLeast"/>
        </w:trPr>
        <w:tc>
          <w:tcPr>
            <w:tcW w:w="4241" w:type="dxa"/>
            <w:tcBorders>
              <w:top w:val="single" w:sz="8" w:space="0" w:color="000000"/>
              <w:right w:val="single" w:sz="8" w:space="0" w:color="000000"/>
            </w:tcBorders>
          </w:tcPr>
          <w:p>
            <w:pPr>
              <w:pStyle w:val="TableParagraph"/>
              <w:spacing w:before="37"/>
              <w:ind w:left="107"/>
              <w:rPr>
                <w:b/>
                <w:sz w:val="20"/>
              </w:rPr>
            </w:pPr>
            <w:r>
              <w:rPr>
                <w:b/>
                <w:sz w:val="20"/>
              </w:rPr>
              <w:t>Document</w:t>
            </w:r>
            <w:r>
              <w:rPr>
                <w:b/>
                <w:spacing w:val="-8"/>
                <w:sz w:val="20"/>
              </w:rPr>
              <w:t> </w:t>
            </w:r>
            <w:r>
              <w:rPr>
                <w:b/>
                <w:spacing w:val="-2"/>
                <w:sz w:val="20"/>
              </w:rPr>
              <w:t>Owner:</w:t>
            </w:r>
          </w:p>
          <w:p>
            <w:pPr>
              <w:pStyle w:val="TableParagraph"/>
              <w:spacing w:before="39"/>
              <w:ind w:left="164"/>
              <w:rPr>
                <w:sz w:val="20"/>
              </w:rPr>
            </w:pPr>
            <w:r>
              <w:rPr>
                <w:sz w:val="20"/>
              </w:rPr>
              <w:t>Lewis</w:t>
            </w:r>
            <w:r>
              <w:rPr>
                <w:spacing w:val="-6"/>
                <w:sz w:val="20"/>
              </w:rPr>
              <w:t> </w:t>
            </w:r>
            <w:r>
              <w:rPr>
                <w:spacing w:val="-4"/>
                <w:sz w:val="20"/>
              </w:rPr>
              <w:t>Prior</w:t>
            </w:r>
          </w:p>
        </w:tc>
        <w:tc>
          <w:tcPr>
            <w:tcW w:w="5095" w:type="dxa"/>
            <w:tcBorders>
              <w:top w:val="single" w:sz="8" w:space="0" w:color="000000"/>
              <w:left w:val="single" w:sz="8" w:space="0" w:color="000000"/>
            </w:tcBorders>
          </w:tcPr>
          <w:p>
            <w:pPr>
              <w:pStyle w:val="TableParagraph"/>
              <w:spacing w:before="37"/>
              <w:ind w:left="121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Author(s):</w:t>
            </w:r>
          </w:p>
          <w:p>
            <w:pPr>
              <w:pStyle w:val="TableParagraph"/>
              <w:spacing w:before="39"/>
              <w:ind w:left="121"/>
              <w:rPr>
                <w:sz w:val="20"/>
              </w:rPr>
            </w:pPr>
            <w:r>
              <w:rPr>
                <w:sz w:val="20"/>
              </w:rPr>
              <w:t>Stacy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Lamb,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Kerry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Tingley,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Karolina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Zabawa,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Ulrika </w:t>
            </w:r>
            <w:r>
              <w:rPr>
                <w:spacing w:val="-2"/>
                <w:sz w:val="20"/>
              </w:rPr>
              <w:t>Böiers</w:t>
            </w:r>
          </w:p>
        </w:tc>
      </w:tr>
    </w:tbl>
    <w:p>
      <w:pPr>
        <w:pStyle w:val="BodyText"/>
        <w:rPr>
          <w:rFonts w:ascii="Times New Roman"/>
          <w:sz w:val="20"/>
        </w:rPr>
      </w:pPr>
    </w:p>
    <w:p>
      <w:pPr>
        <w:pStyle w:val="BodyText"/>
        <w:spacing w:before="8"/>
        <w:rPr>
          <w:rFonts w:ascii="Times New Roman"/>
          <w:sz w:val="15"/>
        </w:rPr>
      </w:pPr>
    </w:p>
    <w:p>
      <w:pPr>
        <w:pStyle w:val="ListParagraph"/>
        <w:numPr>
          <w:ilvl w:val="0"/>
          <w:numId w:val="1"/>
        </w:numPr>
        <w:tabs>
          <w:tab w:pos="1259" w:val="left" w:leader="none"/>
          <w:tab w:pos="1260" w:val="left" w:leader="none"/>
        </w:tabs>
        <w:spacing w:line="240" w:lineRule="auto" w:before="93" w:after="0"/>
        <w:ind w:left="1260" w:right="0" w:hanging="720"/>
        <w:jc w:val="left"/>
        <w:rPr>
          <w:b/>
          <w:sz w:val="22"/>
        </w:rPr>
      </w:pPr>
      <w:r>
        <w:rPr>
          <w:b/>
          <w:spacing w:val="-2"/>
          <w:sz w:val="22"/>
        </w:rPr>
        <w:t>PURPOSE</w:t>
      </w:r>
    </w:p>
    <w:p>
      <w:pPr>
        <w:pStyle w:val="BodyText"/>
        <w:spacing w:before="122"/>
        <w:ind w:left="1260" w:right="519"/>
      </w:pPr>
      <w:r>
        <w:rPr/>
        <w:t>To</w:t>
      </w:r>
      <w:r>
        <w:rPr>
          <w:spacing w:val="-3"/>
        </w:rPr>
        <w:t> </w:t>
      </w:r>
      <w:r>
        <w:rPr/>
        <w:t>provide</w:t>
      </w:r>
      <w:r>
        <w:rPr>
          <w:spacing w:val="-3"/>
        </w:rPr>
        <w:t> </w:t>
      </w:r>
      <w:r>
        <w:rPr/>
        <w:t>instruction</w:t>
      </w:r>
      <w:r>
        <w:rPr>
          <w:spacing w:val="-3"/>
        </w:rPr>
        <w:t> </w:t>
      </w:r>
      <w:r>
        <w:rPr/>
        <w:t>on</w:t>
      </w:r>
      <w:r>
        <w:rPr>
          <w:spacing w:val="-3"/>
        </w:rPr>
        <w:t> </w:t>
      </w:r>
      <w:r>
        <w:rPr/>
        <w:t>the</w:t>
      </w:r>
      <w:r>
        <w:rPr>
          <w:spacing w:val="-3"/>
        </w:rPr>
        <w:t> </w:t>
      </w:r>
      <w:r>
        <w:rPr/>
        <w:t>handling</w:t>
      </w:r>
      <w:r>
        <w:rPr>
          <w:spacing w:val="-3"/>
        </w:rPr>
        <w:t> </w:t>
      </w:r>
      <w:r>
        <w:rPr/>
        <w:t>of</w:t>
      </w:r>
      <w:r>
        <w:rPr>
          <w:spacing w:val="-3"/>
        </w:rPr>
        <w:t> </w:t>
      </w:r>
      <w:r>
        <w:rPr/>
        <w:t>clinical</w:t>
      </w:r>
      <w:r>
        <w:rPr>
          <w:spacing w:val="-3"/>
        </w:rPr>
        <w:t> </w:t>
      </w:r>
      <w:r>
        <w:rPr/>
        <w:t>supply</w:t>
      </w:r>
      <w:r>
        <w:rPr>
          <w:spacing w:val="-3"/>
        </w:rPr>
        <w:t> </w:t>
      </w:r>
      <w:r>
        <w:rPr/>
        <w:t>returns,</w:t>
      </w:r>
      <w:r>
        <w:rPr>
          <w:spacing w:val="-3"/>
        </w:rPr>
        <w:t> </w:t>
      </w:r>
      <w:r>
        <w:rPr/>
        <w:t>destructions</w:t>
      </w:r>
      <w:r>
        <w:rPr>
          <w:spacing w:val="-3"/>
        </w:rPr>
        <w:t> </w:t>
      </w:r>
      <w:r>
        <w:rPr/>
        <w:t>and</w:t>
      </w:r>
      <w:r>
        <w:rPr>
          <w:spacing w:val="-3"/>
        </w:rPr>
        <w:t> </w:t>
      </w:r>
      <w:r>
        <w:rPr/>
        <w:t>all</w:t>
      </w:r>
      <w:r>
        <w:rPr>
          <w:spacing w:val="-3"/>
        </w:rPr>
        <w:t> </w:t>
      </w:r>
      <w:r>
        <w:rPr/>
        <w:t>core study close out related activities that need to be executed by the Clinical Trial Supplies (CTS) Team.</w:t>
      </w:r>
    </w:p>
    <w:p>
      <w:pPr>
        <w:pStyle w:val="BodyText"/>
        <w:spacing w:before="4"/>
        <w:rPr>
          <w:sz w:val="20"/>
        </w:rPr>
      </w:pPr>
    </w:p>
    <w:p>
      <w:pPr>
        <w:pStyle w:val="ListParagraph"/>
        <w:numPr>
          <w:ilvl w:val="0"/>
          <w:numId w:val="1"/>
        </w:numPr>
        <w:tabs>
          <w:tab w:pos="1259" w:val="left" w:leader="none"/>
          <w:tab w:pos="1260" w:val="left" w:leader="none"/>
        </w:tabs>
        <w:spacing w:line="240" w:lineRule="auto" w:before="0" w:after="0"/>
        <w:ind w:left="1260" w:right="0" w:hanging="720"/>
        <w:jc w:val="left"/>
        <w:rPr>
          <w:b/>
          <w:sz w:val="22"/>
        </w:rPr>
      </w:pPr>
      <w:r>
        <w:rPr>
          <w:b/>
          <w:spacing w:val="-2"/>
          <w:sz w:val="22"/>
        </w:rPr>
        <w:t>SCOPE</w:t>
      </w:r>
    </w:p>
    <w:p>
      <w:pPr>
        <w:pStyle w:val="BodyText"/>
        <w:spacing w:before="5"/>
        <w:rPr>
          <w:b/>
          <w:sz w:val="21"/>
        </w:rPr>
      </w:pPr>
    </w:p>
    <w:p>
      <w:pPr>
        <w:pStyle w:val="BodyText"/>
        <w:ind w:left="1260" w:right="519"/>
      </w:pPr>
      <w:r>
        <w:rPr/>
        <w:t>This</w:t>
      </w:r>
      <w:r>
        <w:rPr>
          <w:spacing w:val="-1"/>
        </w:rPr>
        <w:t> </w:t>
      </w:r>
      <w:r>
        <w:rPr/>
        <w:t>operating</w:t>
      </w:r>
      <w:r>
        <w:rPr>
          <w:spacing w:val="-3"/>
        </w:rPr>
        <w:t> </w:t>
      </w:r>
      <w:r>
        <w:rPr/>
        <w:t>procedure</w:t>
      </w:r>
      <w:r>
        <w:rPr>
          <w:spacing w:val="-3"/>
        </w:rPr>
        <w:t> </w:t>
      </w:r>
      <w:r>
        <w:rPr/>
        <w:t>(OP)</w:t>
      </w:r>
      <w:r>
        <w:rPr>
          <w:spacing w:val="-7"/>
        </w:rPr>
        <w:t> </w:t>
      </w:r>
      <w:r>
        <w:rPr/>
        <w:t>applies</w:t>
      </w:r>
      <w:r>
        <w:rPr>
          <w:spacing w:val="-3"/>
        </w:rPr>
        <w:t> </w:t>
      </w:r>
      <w:r>
        <w:rPr/>
        <w:t>to</w:t>
      </w:r>
      <w:r>
        <w:rPr>
          <w:spacing w:val="-3"/>
        </w:rPr>
        <w:t> </w:t>
      </w:r>
      <w:r>
        <w:rPr/>
        <w:t>all</w:t>
      </w:r>
      <w:r>
        <w:rPr>
          <w:spacing w:val="-3"/>
        </w:rPr>
        <w:t> </w:t>
      </w:r>
      <w:r>
        <w:rPr/>
        <w:t>studies</w:t>
      </w:r>
      <w:r>
        <w:rPr>
          <w:spacing w:val="-3"/>
        </w:rPr>
        <w:t> </w:t>
      </w:r>
      <w:r>
        <w:rPr/>
        <w:t>where</w:t>
      </w:r>
      <w:r>
        <w:rPr>
          <w:spacing w:val="-3"/>
        </w:rPr>
        <w:t> </w:t>
      </w:r>
      <w:r>
        <w:rPr/>
        <w:t>the</w:t>
      </w:r>
      <w:r>
        <w:rPr>
          <w:spacing w:val="-3"/>
        </w:rPr>
        <w:t> </w:t>
      </w:r>
      <w:r>
        <w:rPr/>
        <w:t>CTS</w:t>
      </w:r>
      <w:r>
        <w:rPr>
          <w:spacing w:val="-2"/>
        </w:rPr>
        <w:t> </w:t>
      </w:r>
      <w:r>
        <w:rPr/>
        <w:t>team</w:t>
      </w:r>
      <w:r>
        <w:rPr>
          <w:spacing w:val="-3"/>
        </w:rPr>
        <w:t> </w:t>
      </w:r>
      <w:r>
        <w:rPr/>
        <w:t>are</w:t>
      </w:r>
      <w:r>
        <w:rPr>
          <w:spacing w:val="-3"/>
        </w:rPr>
        <w:t> </w:t>
      </w:r>
      <w:r>
        <w:rPr/>
        <w:t>contracted to provide Clinical Supply Chain Management Services.</w:t>
      </w:r>
    </w:p>
    <w:p>
      <w:pPr>
        <w:pStyle w:val="BodyText"/>
        <w:spacing w:before="8"/>
        <w:rPr>
          <w:sz w:val="20"/>
        </w:rPr>
      </w:pPr>
    </w:p>
    <w:p>
      <w:pPr>
        <w:pStyle w:val="BodyText"/>
        <w:ind w:left="1260" w:right="519"/>
      </w:pPr>
      <w:r>
        <w:rPr/>
        <w:t>It</w:t>
      </w:r>
      <w:r>
        <w:rPr>
          <w:spacing w:val="-3"/>
        </w:rPr>
        <w:t> </w:t>
      </w:r>
      <w:r>
        <w:rPr/>
        <w:t>applies</w:t>
      </w:r>
      <w:r>
        <w:rPr>
          <w:spacing w:val="-3"/>
        </w:rPr>
        <w:t> </w:t>
      </w:r>
      <w:r>
        <w:rPr/>
        <w:t>to</w:t>
      </w:r>
      <w:r>
        <w:rPr>
          <w:spacing w:val="-3"/>
        </w:rPr>
        <w:t> </w:t>
      </w:r>
      <w:r>
        <w:rPr/>
        <w:t>all</w:t>
      </w:r>
      <w:r>
        <w:rPr>
          <w:spacing w:val="-3"/>
        </w:rPr>
        <w:t> </w:t>
      </w:r>
      <w:r>
        <w:rPr/>
        <w:t>Clinical</w:t>
      </w:r>
      <w:r>
        <w:rPr>
          <w:spacing w:val="-3"/>
        </w:rPr>
        <w:t> </w:t>
      </w:r>
      <w:r>
        <w:rPr/>
        <w:t>Trial</w:t>
      </w:r>
      <w:r>
        <w:rPr>
          <w:spacing w:val="-3"/>
        </w:rPr>
        <w:t> </w:t>
      </w:r>
      <w:r>
        <w:rPr/>
        <w:t>materials</w:t>
      </w:r>
      <w:r>
        <w:rPr>
          <w:spacing w:val="-3"/>
        </w:rPr>
        <w:t> </w:t>
      </w:r>
      <w:r>
        <w:rPr/>
        <w:t>that</w:t>
      </w:r>
      <w:r>
        <w:rPr>
          <w:spacing w:val="-3"/>
        </w:rPr>
        <w:t> </w:t>
      </w:r>
      <w:r>
        <w:rPr/>
        <w:t>are</w:t>
      </w:r>
      <w:r>
        <w:rPr>
          <w:spacing w:val="-3"/>
        </w:rPr>
        <w:t> </w:t>
      </w:r>
      <w:r>
        <w:rPr/>
        <w:t>managed</w:t>
      </w:r>
      <w:r>
        <w:rPr>
          <w:spacing w:val="-3"/>
        </w:rPr>
        <w:t> </w:t>
      </w:r>
      <w:r>
        <w:rPr/>
        <w:t>by</w:t>
      </w:r>
      <w:r>
        <w:rPr>
          <w:spacing w:val="-3"/>
        </w:rPr>
        <w:t> </w:t>
      </w:r>
      <w:r>
        <w:rPr/>
        <w:t>the</w:t>
      </w:r>
      <w:r>
        <w:rPr>
          <w:spacing w:val="-3"/>
        </w:rPr>
        <w:t> </w:t>
      </w:r>
      <w:r>
        <w:rPr/>
        <w:t>IQVIA</w:t>
      </w:r>
      <w:r>
        <w:rPr>
          <w:spacing w:val="-2"/>
        </w:rPr>
        <w:t> </w:t>
      </w:r>
      <w:r>
        <w:rPr/>
        <w:t>CTS</w:t>
      </w:r>
      <w:r>
        <w:rPr>
          <w:spacing w:val="-3"/>
        </w:rPr>
        <w:t> </w:t>
      </w:r>
      <w:r>
        <w:rPr/>
        <w:t>team</w:t>
      </w:r>
      <w:r>
        <w:rPr>
          <w:spacing w:val="-8"/>
        </w:rPr>
        <w:t> </w:t>
      </w:r>
      <w:r>
        <w:rPr/>
        <w:t>and located at the vendor depots and/or at clinical sites.</w:t>
      </w:r>
    </w:p>
    <w:p>
      <w:pPr>
        <w:pStyle w:val="BodyText"/>
        <w:spacing w:before="1"/>
        <w:rPr>
          <w:sz w:val="21"/>
        </w:rPr>
      </w:pPr>
    </w:p>
    <w:p>
      <w:pPr>
        <w:pStyle w:val="BodyText"/>
        <w:spacing w:before="1"/>
        <w:ind w:left="1260" w:right="519"/>
      </w:pPr>
      <w:r>
        <w:rPr/>
        <w:t>All</w:t>
      </w:r>
      <w:r>
        <w:rPr>
          <w:spacing w:val="-3"/>
        </w:rPr>
        <w:t> </w:t>
      </w:r>
      <w:r>
        <w:rPr/>
        <w:t>documentation</w:t>
      </w:r>
      <w:r>
        <w:rPr>
          <w:spacing w:val="-3"/>
        </w:rPr>
        <w:t> </w:t>
      </w:r>
      <w:r>
        <w:rPr/>
        <w:t>related</w:t>
      </w:r>
      <w:r>
        <w:rPr>
          <w:spacing w:val="-3"/>
        </w:rPr>
        <w:t> </w:t>
      </w:r>
      <w:r>
        <w:rPr/>
        <w:t>to</w:t>
      </w:r>
      <w:r>
        <w:rPr>
          <w:spacing w:val="-3"/>
        </w:rPr>
        <w:t> </w:t>
      </w:r>
      <w:r>
        <w:rPr/>
        <w:t>Clinical</w:t>
      </w:r>
      <w:r>
        <w:rPr>
          <w:spacing w:val="-3"/>
        </w:rPr>
        <w:t> </w:t>
      </w:r>
      <w:r>
        <w:rPr/>
        <w:t>Supplies</w:t>
      </w:r>
      <w:r>
        <w:rPr>
          <w:spacing w:val="-3"/>
        </w:rPr>
        <w:t> </w:t>
      </w:r>
      <w:r>
        <w:rPr/>
        <w:t>that</w:t>
      </w:r>
      <w:r>
        <w:rPr>
          <w:spacing w:val="-3"/>
        </w:rPr>
        <w:t> </w:t>
      </w:r>
      <w:r>
        <w:rPr/>
        <w:t>are</w:t>
      </w:r>
      <w:r>
        <w:rPr>
          <w:spacing w:val="-3"/>
        </w:rPr>
        <w:t> </w:t>
      </w:r>
      <w:r>
        <w:rPr/>
        <w:t>managed</w:t>
      </w:r>
      <w:r>
        <w:rPr>
          <w:spacing w:val="-3"/>
        </w:rPr>
        <w:t> </w:t>
      </w:r>
      <w:r>
        <w:rPr/>
        <w:t>by</w:t>
      </w:r>
      <w:r>
        <w:rPr>
          <w:spacing w:val="-3"/>
        </w:rPr>
        <w:t> </w:t>
      </w:r>
      <w:r>
        <w:rPr/>
        <w:t>the</w:t>
      </w:r>
      <w:r>
        <w:rPr>
          <w:spacing w:val="-3"/>
        </w:rPr>
        <w:t> </w:t>
      </w:r>
      <w:r>
        <w:rPr/>
        <w:t>IQVIA</w:t>
      </w:r>
      <w:r>
        <w:rPr>
          <w:spacing w:val="-3"/>
        </w:rPr>
        <w:t> </w:t>
      </w:r>
      <w:r>
        <w:rPr/>
        <w:t>CTS</w:t>
      </w:r>
      <w:r>
        <w:rPr>
          <w:spacing w:val="-3"/>
        </w:rPr>
        <w:t> </w:t>
      </w:r>
      <w:r>
        <w:rPr/>
        <w:t>team are also in scope.</w:t>
      </w:r>
    </w:p>
    <w:p>
      <w:pPr>
        <w:pStyle w:val="BodyText"/>
        <w:spacing w:before="3"/>
        <w:rPr>
          <w:sz w:val="20"/>
        </w:rPr>
      </w:pPr>
    </w:p>
    <w:p>
      <w:pPr>
        <w:pStyle w:val="ListParagraph"/>
        <w:numPr>
          <w:ilvl w:val="0"/>
          <w:numId w:val="1"/>
        </w:numPr>
        <w:tabs>
          <w:tab w:pos="1259" w:val="left" w:leader="none"/>
          <w:tab w:pos="1260" w:val="left" w:leader="none"/>
        </w:tabs>
        <w:spacing w:line="240" w:lineRule="auto" w:before="0" w:after="0"/>
        <w:ind w:left="1260" w:right="0" w:hanging="720"/>
        <w:jc w:val="left"/>
        <w:rPr>
          <w:b/>
          <w:sz w:val="22"/>
        </w:rPr>
      </w:pPr>
      <w:r>
        <w:rPr>
          <w:b/>
          <w:sz w:val="22"/>
        </w:rPr>
        <w:t>ROLES</w:t>
      </w:r>
      <w:r>
        <w:rPr>
          <w:b/>
          <w:spacing w:val="-7"/>
          <w:sz w:val="22"/>
        </w:rPr>
        <w:t> </w:t>
      </w:r>
      <w:r>
        <w:rPr>
          <w:b/>
          <w:sz w:val="22"/>
        </w:rPr>
        <w:t>AND</w:t>
      </w:r>
      <w:r>
        <w:rPr>
          <w:b/>
          <w:spacing w:val="-6"/>
          <w:sz w:val="22"/>
        </w:rPr>
        <w:t> </w:t>
      </w:r>
      <w:r>
        <w:rPr>
          <w:b/>
          <w:spacing w:val="-2"/>
          <w:sz w:val="22"/>
        </w:rPr>
        <w:t>RESPONSIBILITIES</w:t>
      </w:r>
    </w:p>
    <w:p>
      <w:pPr>
        <w:pStyle w:val="BodyText"/>
        <w:spacing w:before="126"/>
        <w:ind w:left="1259"/>
      </w:pPr>
      <w:r>
        <w:rPr/>
        <w:t>The</w:t>
      </w:r>
      <w:r>
        <w:rPr>
          <w:spacing w:val="-7"/>
        </w:rPr>
        <w:t> </w:t>
      </w:r>
      <w:r>
        <w:rPr/>
        <w:t>following</w:t>
      </w:r>
      <w:r>
        <w:rPr>
          <w:spacing w:val="-6"/>
        </w:rPr>
        <w:t> </w:t>
      </w:r>
      <w:r>
        <w:rPr/>
        <w:t>roles</w:t>
      </w:r>
      <w:r>
        <w:rPr>
          <w:spacing w:val="-6"/>
        </w:rPr>
        <w:t> </w:t>
      </w:r>
      <w:r>
        <w:rPr/>
        <w:t>perform</w:t>
      </w:r>
      <w:r>
        <w:rPr>
          <w:spacing w:val="-6"/>
        </w:rPr>
        <w:t> </w:t>
      </w:r>
      <w:r>
        <w:rPr/>
        <w:t>tasks</w:t>
      </w:r>
      <w:r>
        <w:rPr>
          <w:spacing w:val="-6"/>
        </w:rPr>
        <w:t> </w:t>
      </w:r>
      <w:r>
        <w:rPr/>
        <w:t>described</w:t>
      </w:r>
      <w:r>
        <w:rPr>
          <w:spacing w:val="-6"/>
        </w:rPr>
        <w:t> </w:t>
      </w:r>
      <w:r>
        <w:rPr/>
        <w:t>within</w:t>
      </w:r>
      <w:r>
        <w:rPr>
          <w:spacing w:val="-6"/>
        </w:rPr>
        <w:t> </w:t>
      </w:r>
      <w:r>
        <w:rPr/>
        <w:t>this</w:t>
      </w:r>
      <w:r>
        <w:rPr>
          <w:spacing w:val="-9"/>
        </w:rPr>
        <w:t> </w:t>
      </w:r>
      <w:r>
        <w:rPr>
          <w:spacing w:val="-5"/>
        </w:rPr>
        <w:t>OP:</w:t>
      </w:r>
    </w:p>
    <w:p>
      <w:pPr>
        <w:pStyle w:val="BodyText"/>
        <w:spacing w:before="6"/>
        <w:rPr>
          <w:sz w:val="10"/>
        </w:rPr>
      </w:pPr>
    </w:p>
    <w:tbl>
      <w:tblPr>
        <w:tblW w:w="0" w:type="auto"/>
        <w:jc w:val="left"/>
        <w:tblInd w:w="10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5213"/>
        <w:gridCol w:w="3595"/>
      </w:tblGrid>
      <w:tr>
        <w:trPr>
          <w:trHeight w:val="330" w:hRule="atLeast"/>
        </w:trPr>
        <w:tc>
          <w:tcPr>
            <w:tcW w:w="5213" w:type="dxa"/>
            <w:shd w:val="clear" w:color="auto" w:fill="D9D9D9"/>
          </w:tcPr>
          <w:p>
            <w:pPr>
              <w:pStyle w:val="TableParagraph"/>
              <w:spacing w:before="33"/>
              <w:ind w:left="105"/>
              <w:rPr>
                <w:b/>
                <w:sz w:val="22"/>
              </w:rPr>
            </w:pPr>
            <w:r>
              <w:rPr>
                <w:b/>
                <w:spacing w:val="-4"/>
                <w:sz w:val="22"/>
              </w:rPr>
              <w:t>Role</w:t>
            </w:r>
          </w:p>
        </w:tc>
        <w:tc>
          <w:tcPr>
            <w:tcW w:w="3595" w:type="dxa"/>
            <w:shd w:val="clear" w:color="auto" w:fill="D9D9D9"/>
          </w:tcPr>
          <w:p>
            <w:pPr>
              <w:pStyle w:val="TableParagraph"/>
              <w:spacing w:before="33"/>
              <w:ind w:left="105"/>
              <w:rPr>
                <w:b/>
                <w:sz w:val="22"/>
              </w:rPr>
            </w:pPr>
            <w:r>
              <w:rPr>
                <w:b/>
                <w:spacing w:val="-2"/>
                <w:sz w:val="22"/>
              </w:rPr>
              <w:t>Sections</w:t>
            </w:r>
          </w:p>
        </w:tc>
      </w:tr>
      <w:tr>
        <w:trPr>
          <w:trHeight w:val="590" w:hRule="atLeast"/>
        </w:trPr>
        <w:tc>
          <w:tcPr>
            <w:tcW w:w="5213" w:type="dxa"/>
          </w:tcPr>
          <w:p>
            <w:pPr>
              <w:pStyle w:val="TableParagraph"/>
              <w:spacing w:line="244" w:lineRule="auto" w:before="38"/>
              <w:ind w:left="105" w:right="127"/>
              <w:rPr>
                <w:sz w:val="22"/>
              </w:rPr>
            </w:pPr>
            <w:r>
              <w:rPr>
                <w:sz w:val="22"/>
              </w:rPr>
              <w:t>Clinical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Trial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Supplies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(CTS)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Personnel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(see Section 4.0)</w:t>
            </w:r>
          </w:p>
        </w:tc>
        <w:tc>
          <w:tcPr>
            <w:tcW w:w="3595" w:type="dxa"/>
          </w:tcPr>
          <w:p>
            <w:pPr>
              <w:pStyle w:val="TableParagraph"/>
              <w:spacing w:before="38"/>
              <w:ind w:left="105"/>
              <w:rPr>
                <w:sz w:val="22"/>
              </w:rPr>
            </w:pPr>
            <w:r>
              <w:rPr>
                <w:spacing w:val="-5"/>
                <w:sz w:val="22"/>
              </w:rPr>
              <w:t>All</w:t>
            </w:r>
          </w:p>
        </w:tc>
      </w:tr>
    </w:tbl>
    <w:p>
      <w:pPr>
        <w:pStyle w:val="BodyText"/>
        <w:rPr>
          <w:sz w:val="20"/>
        </w:rPr>
      </w:pPr>
    </w:p>
    <w:p>
      <w:pPr>
        <w:pStyle w:val="ListParagraph"/>
        <w:numPr>
          <w:ilvl w:val="0"/>
          <w:numId w:val="1"/>
        </w:numPr>
        <w:tabs>
          <w:tab w:pos="1259" w:val="left" w:leader="none"/>
          <w:tab w:pos="1260" w:val="left" w:leader="none"/>
        </w:tabs>
        <w:spacing w:line="240" w:lineRule="auto" w:before="1" w:after="0"/>
        <w:ind w:left="1260" w:right="0" w:hanging="720"/>
        <w:jc w:val="left"/>
        <w:rPr>
          <w:b/>
          <w:sz w:val="22"/>
        </w:rPr>
      </w:pPr>
      <w:r>
        <w:rPr>
          <w:b/>
          <w:spacing w:val="-2"/>
          <w:sz w:val="22"/>
        </w:rPr>
        <w:t>DEFINITIONS</w:t>
      </w:r>
    </w:p>
    <w:p>
      <w:pPr>
        <w:pStyle w:val="BodyText"/>
        <w:spacing w:line="244" w:lineRule="auto" w:before="121"/>
        <w:ind w:left="1260" w:right="519"/>
      </w:pPr>
      <w:r>
        <w:rPr>
          <w:b/>
        </w:rPr>
        <w:t>Ancillaries: </w:t>
      </w:r>
      <w:r>
        <w:rPr/>
        <w:t>Other</w:t>
      </w:r>
      <w:r>
        <w:rPr>
          <w:spacing w:val="-4"/>
        </w:rPr>
        <w:t> </w:t>
      </w:r>
      <w:r>
        <w:rPr/>
        <w:t>tools</w:t>
      </w:r>
      <w:r>
        <w:rPr>
          <w:spacing w:val="-4"/>
        </w:rPr>
        <w:t> </w:t>
      </w:r>
      <w:r>
        <w:rPr/>
        <w:t>and</w:t>
      </w:r>
      <w:r>
        <w:rPr>
          <w:spacing w:val="-4"/>
        </w:rPr>
        <w:t> </w:t>
      </w:r>
      <w:r>
        <w:rPr/>
        <w:t>equipment</w:t>
      </w:r>
      <w:r>
        <w:rPr>
          <w:spacing w:val="-4"/>
        </w:rPr>
        <w:t> </w:t>
      </w:r>
      <w:r>
        <w:rPr/>
        <w:t>used</w:t>
      </w:r>
      <w:r>
        <w:rPr>
          <w:spacing w:val="-4"/>
        </w:rPr>
        <w:t> </w:t>
      </w:r>
      <w:r>
        <w:rPr/>
        <w:t>throughout</w:t>
      </w:r>
      <w:r>
        <w:rPr>
          <w:spacing w:val="-4"/>
        </w:rPr>
        <w:t> </w:t>
      </w:r>
      <w:r>
        <w:rPr/>
        <w:t>the</w:t>
      </w:r>
      <w:r>
        <w:rPr>
          <w:spacing w:val="-4"/>
        </w:rPr>
        <w:t> </w:t>
      </w:r>
      <w:r>
        <w:rPr/>
        <w:t>clinical</w:t>
      </w:r>
      <w:r>
        <w:rPr>
          <w:spacing w:val="-4"/>
        </w:rPr>
        <w:t> </w:t>
      </w:r>
      <w:r>
        <w:rPr/>
        <w:t>trial</w:t>
      </w:r>
      <w:r>
        <w:rPr>
          <w:spacing w:val="-4"/>
        </w:rPr>
        <w:t> </w:t>
      </w:r>
      <w:r>
        <w:rPr/>
        <w:t>which</w:t>
      </w:r>
      <w:r>
        <w:rPr>
          <w:spacing w:val="-4"/>
        </w:rPr>
        <w:t> </w:t>
      </w:r>
      <w:r>
        <w:rPr/>
        <w:t>either</w:t>
      </w:r>
      <w:r>
        <w:rPr>
          <w:spacing w:val="-4"/>
        </w:rPr>
        <w:t> </w:t>
      </w:r>
      <w:r>
        <w:rPr/>
        <w:t>aid in IP/Comparator administration or vital in the preparation of the IP/comparator to be used throughout the study.</w:t>
      </w:r>
    </w:p>
    <w:p>
      <w:pPr>
        <w:pStyle w:val="BodyText"/>
        <w:spacing w:line="244" w:lineRule="auto" w:before="104"/>
        <w:ind w:left="1260" w:right="519"/>
      </w:pPr>
      <w:r>
        <w:rPr>
          <w:b/>
        </w:rPr>
        <w:t>CoD: </w:t>
      </w:r>
      <w:r>
        <w:rPr/>
        <w:t>Certificate</w:t>
      </w:r>
      <w:r>
        <w:rPr>
          <w:spacing w:val="-4"/>
        </w:rPr>
        <w:t> </w:t>
      </w:r>
      <w:r>
        <w:rPr/>
        <w:t>of</w:t>
      </w:r>
      <w:r>
        <w:rPr>
          <w:spacing w:val="-4"/>
        </w:rPr>
        <w:t> </w:t>
      </w:r>
      <w:r>
        <w:rPr/>
        <w:t>Destruction</w:t>
      </w:r>
      <w:r>
        <w:rPr>
          <w:spacing w:val="-4"/>
        </w:rPr>
        <w:t> </w:t>
      </w:r>
      <w:r>
        <w:rPr/>
        <w:t>–</w:t>
      </w:r>
      <w:r>
        <w:rPr>
          <w:spacing w:val="-5"/>
        </w:rPr>
        <w:t> </w:t>
      </w:r>
      <w:r>
        <w:rPr/>
        <w:t>A</w:t>
      </w:r>
      <w:r>
        <w:rPr>
          <w:spacing w:val="-4"/>
        </w:rPr>
        <w:t> </w:t>
      </w:r>
      <w:r>
        <w:rPr/>
        <w:t>document</w:t>
      </w:r>
      <w:r>
        <w:rPr>
          <w:spacing w:val="-4"/>
        </w:rPr>
        <w:t> </w:t>
      </w:r>
      <w:r>
        <w:rPr/>
        <w:t>provided</w:t>
      </w:r>
      <w:r>
        <w:rPr>
          <w:spacing w:val="-4"/>
        </w:rPr>
        <w:t> </w:t>
      </w:r>
      <w:r>
        <w:rPr/>
        <w:t>as</w:t>
      </w:r>
      <w:r>
        <w:rPr>
          <w:spacing w:val="-4"/>
        </w:rPr>
        <w:t> </w:t>
      </w:r>
      <w:r>
        <w:rPr/>
        <w:t>evidence</w:t>
      </w:r>
      <w:r>
        <w:rPr>
          <w:spacing w:val="-4"/>
        </w:rPr>
        <w:t> </w:t>
      </w:r>
      <w:r>
        <w:rPr/>
        <w:t>that</w:t>
      </w:r>
      <w:r>
        <w:rPr>
          <w:spacing w:val="-4"/>
        </w:rPr>
        <w:t> </w:t>
      </w:r>
      <w:r>
        <w:rPr/>
        <w:t>Clinical</w:t>
      </w:r>
      <w:r>
        <w:rPr>
          <w:spacing w:val="-4"/>
        </w:rPr>
        <w:t> </w:t>
      </w:r>
      <w:r>
        <w:rPr/>
        <w:t>Trial Material has been disposed of safely.</w:t>
      </w:r>
    </w:p>
    <w:p>
      <w:pPr>
        <w:pStyle w:val="BodyText"/>
        <w:spacing w:before="113"/>
        <w:ind w:left="1259" w:right="519"/>
      </w:pPr>
      <w:r>
        <w:rPr>
          <w:b/>
        </w:rPr>
        <w:t>Clinical Trial Supplies: </w:t>
      </w:r>
      <w:r>
        <w:rPr/>
        <w:t>Any IP, NIMP, placebo product, marketed drug product (i.e. comparator)</w:t>
      </w:r>
      <w:r>
        <w:rPr>
          <w:spacing w:val="-4"/>
        </w:rPr>
        <w:t> </w:t>
      </w:r>
      <w:r>
        <w:rPr/>
        <w:t>or</w:t>
      </w:r>
      <w:r>
        <w:rPr>
          <w:spacing w:val="-4"/>
        </w:rPr>
        <w:t> </w:t>
      </w:r>
      <w:r>
        <w:rPr/>
        <w:t>ancillary</w:t>
      </w:r>
      <w:r>
        <w:rPr>
          <w:spacing w:val="-4"/>
        </w:rPr>
        <w:t> </w:t>
      </w:r>
      <w:r>
        <w:rPr/>
        <w:t>item</w:t>
      </w:r>
      <w:r>
        <w:rPr>
          <w:spacing w:val="-4"/>
        </w:rPr>
        <w:t> </w:t>
      </w:r>
      <w:r>
        <w:rPr/>
        <w:t>for</w:t>
      </w:r>
      <w:r>
        <w:rPr>
          <w:spacing w:val="-4"/>
        </w:rPr>
        <w:t> </w:t>
      </w:r>
      <w:r>
        <w:rPr/>
        <w:t>drug</w:t>
      </w:r>
      <w:r>
        <w:rPr>
          <w:spacing w:val="-4"/>
        </w:rPr>
        <w:t> </w:t>
      </w:r>
      <w:r>
        <w:rPr/>
        <w:t>preparation</w:t>
      </w:r>
      <w:r>
        <w:rPr>
          <w:spacing w:val="-4"/>
        </w:rPr>
        <w:t> </w:t>
      </w:r>
      <w:r>
        <w:rPr/>
        <w:t>or</w:t>
      </w:r>
      <w:r>
        <w:rPr>
          <w:spacing w:val="-4"/>
        </w:rPr>
        <w:t> </w:t>
      </w:r>
      <w:r>
        <w:rPr/>
        <w:t>administration</w:t>
      </w:r>
      <w:r>
        <w:rPr>
          <w:spacing w:val="-4"/>
        </w:rPr>
        <w:t> </w:t>
      </w:r>
      <w:r>
        <w:rPr/>
        <w:t>(i.e.</w:t>
      </w:r>
      <w:r>
        <w:rPr>
          <w:spacing w:val="-4"/>
        </w:rPr>
        <w:t> </w:t>
      </w:r>
      <w:r>
        <w:rPr/>
        <w:t>intravenous</w:t>
      </w:r>
      <w:r>
        <w:rPr>
          <w:spacing w:val="-4"/>
        </w:rPr>
        <w:t> </w:t>
      </w:r>
      <w:r>
        <w:rPr/>
        <w:t>(IV) saline bag, syringe) used by investigator sites in the conduct of a clinical trial.</w:t>
      </w:r>
    </w:p>
    <w:p>
      <w:pPr>
        <w:pStyle w:val="BodyText"/>
        <w:spacing w:before="119"/>
        <w:ind w:left="1260" w:right="519"/>
      </w:pPr>
      <w:r>
        <w:rPr>
          <w:b/>
        </w:rPr>
        <w:t>CTS</w:t>
      </w:r>
      <w:r>
        <w:rPr>
          <w:b/>
          <w:spacing w:val="-3"/>
        </w:rPr>
        <w:t> </w:t>
      </w:r>
      <w:r>
        <w:rPr>
          <w:b/>
        </w:rPr>
        <w:t>Team: </w:t>
      </w:r>
      <w:r>
        <w:rPr/>
        <w:t>Clinical</w:t>
      </w:r>
      <w:r>
        <w:rPr>
          <w:spacing w:val="-4"/>
        </w:rPr>
        <w:t> </w:t>
      </w:r>
      <w:r>
        <w:rPr/>
        <w:t>Trial</w:t>
      </w:r>
      <w:r>
        <w:rPr>
          <w:spacing w:val="-4"/>
        </w:rPr>
        <w:t> </w:t>
      </w:r>
      <w:r>
        <w:rPr/>
        <w:t>Supplies</w:t>
      </w:r>
      <w:r>
        <w:rPr>
          <w:spacing w:val="-4"/>
        </w:rPr>
        <w:t> </w:t>
      </w:r>
      <w:r>
        <w:rPr/>
        <w:t>Team</w:t>
      </w:r>
      <w:r>
        <w:rPr>
          <w:spacing w:val="-4"/>
        </w:rPr>
        <w:t> </w:t>
      </w:r>
      <w:r>
        <w:rPr/>
        <w:t>(This</w:t>
      </w:r>
      <w:r>
        <w:rPr>
          <w:spacing w:val="-4"/>
        </w:rPr>
        <w:t> </w:t>
      </w:r>
      <w:r>
        <w:rPr/>
        <w:t>could</w:t>
      </w:r>
      <w:r>
        <w:rPr>
          <w:spacing w:val="-4"/>
        </w:rPr>
        <w:t> </w:t>
      </w:r>
      <w:r>
        <w:rPr/>
        <w:t>be</w:t>
      </w:r>
      <w:r>
        <w:rPr>
          <w:spacing w:val="-4"/>
        </w:rPr>
        <w:t> </w:t>
      </w:r>
      <w:r>
        <w:rPr/>
        <w:t>a</w:t>
      </w:r>
      <w:r>
        <w:rPr>
          <w:spacing w:val="-4"/>
        </w:rPr>
        <w:t> </w:t>
      </w:r>
      <w:r>
        <w:rPr/>
        <w:t>Clinical</w:t>
      </w:r>
      <w:r>
        <w:rPr>
          <w:spacing w:val="-4"/>
        </w:rPr>
        <w:t> </w:t>
      </w:r>
      <w:r>
        <w:rPr/>
        <w:t>Supply</w:t>
      </w:r>
      <w:r>
        <w:rPr>
          <w:spacing w:val="-4"/>
        </w:rPr>
        <w:t> </w:t>
      </w:r>
      <w:r>
        <w:rPr/>
        <w:t>Coordinator, Associate Clinical Supply Chain Manager, Clinical Supply Chain Manager, Senior Clinical Supply Chain Manager, Associate Director, Director or Senior Director)</w:t>
      </w:r>
    </w:p>
    <w:p>
      <w:pPr>
        <w:pStyle w:val="BodyText"/>
        <w:spacing w:line="244" w:lineRule="auto" w:before="120"/>
        <w:ind w:left="1260" w:right="519"/>
      </w:pPr>
      <w:r>
        <w:rPr>
          <w:b/>
        </w:rPr>
        <w:t>Comparator:</w:t>
      </w:r>
      <w:r>
        <w:rPr>
          <w:b/>
          <w:spacing w:val="-5"/>
        </w:rPr>
        <w:t> </w:t>
      </w:r>
      <w:r>
        <w:rPr/>
        <w:t>An</w:t>
      </w:r>
      <w:r>
        <w:rPr>
          <w:spacing w:val="-3"/>
        </w:rPr>
        <w:t> </w:t>
      </w:r>
      <w:r>
        <w:rPr/>
        <w:t>Investigational</w:t>
      </w:r>
      <w:r>
        <w:rPr>
          <w:spacing w:val="-3"/>
        </w:rPr>
        <w:t> </w:t>
      </w:r>
      <w:r>
        <w:rPr/>
        <w:t>or</w:t>
      </w:r>
      <w:r>
        <w:rPr>
          <w:spacing w:val="-3"/>
        </w:rPr>
        <w:t> </w:t>
      </w:r>
      <w:r>
        <w:rPr/>
        <w:t>marketed</w:t>
      </w:r>
      <w:r>
        <w:rPr>
          <w:spacing w:val="-3"/>
        </w:rPr>
        <w:t> </w:t>
      </w:r>
      <w:r>
        <w:rPr/>
        <w:t>product</w:t>
      </w:r>
      <w:r>
        <w:rPr>
          <w:spacing w:val="-3"/>
        </w:rPr>
        <w:t> </w:t>
      </w:r>
      <w:r>
        <w:rPr/>
        <w:t>used</w:t>
      </w:r>
      <w:r>
        <w:rPr>
          <w:spacing w:val="-3"/>
        </w:rPr>
        <w:t> </w:t>
      </w:r>
      <w:r>
        <w:rPr/>
        <w:t>as</w:t>
      </w:r>
      <w:r>
        <w:rPr>
          <w:spacing w:val="-3"/>
        </w:rPr>
        <w:t> </w:t>
      </w:r>
      <w:r>
        <w:rPr/>
        <w:t>a</w:t>
      </w:r>
      <w:r>
        <w:rPr>
          <w:spacing w:val="-3"/>
        </w:rPr>
        <w:t> </w:t>
      </w:r>
      <w:r>
        <w:rPr/>
        <w:t>reference</w:t>
      </w:r>
      <w:r>
        <w:rPr>
          <w:spacing w:val="-3"/>
        </w:rPr>
        <w:t> </w:t>
      </w:r>
      <w:r>
        <w:rPr/>
        <w:t>in</w:t>
      </w:r>
      <w:r>
        <w:rPr>
          <w:spacing w:val="-3"/>
        </w:rPr>
        <w:t> </w:t>
      </w:r>
      <w:r>
        <w:rPr/>
        <w:t>a</w:t>
      </w:r>
      <w:r>
        <w:rPr>
          <w:spacing w:val="-3"/>
        </w:rPr>
        <w:t> </w:t>
      </w:r>
      <w:r>
        <w:rPr/>
        <w:t>clinical </w:t>
      </w:r>
      <w:r>
        <w:rPr>
          <w:spacing w:val="-2"/>
        </w:rPr>
        <w:t>trial.</w:t>
      </w:r>
    </w:p>
    <w:p>
      <w:pPr>
        <w:spacing w:after="0" w:line="244" w:lineRule="auto"/>
        <w:sectPr>
          <w:footerReference w:type="default" r:id="rId5"/>
          <w:headerReference w:type="default" r:id="rId15"/>
          <w:headerReference w:type="first" r:id="rId16"/>
          <w:headerReference w:type="even" r:id="rId17"/>
          <w:footerReference w:type="first" r:id="rId18"/>
          <w:footerReference w:type="even" r:id="rId19"/>
          <w:type w:val="continuous"/>
          <w:pgSz w:w="12240" w:h="15840"/>
          <w:pgMar w:footer="957" w:header="0" w:top="960" w:bottom="1140" w:left="900" w:right="960"/>
          <w:pgNumType w:start="1"/>
        </w:sectPr>
      </w:pPr>
    </w:p>
    <w:p>
      <w:pPr>
        <w:pStyle w:val="BodyText"/>
        <w:spacing w:before="6"/>
        <w:rPr>
          <w:sz w:val="13"/>
        </w:rPr>
      </w:pPr>
    </w:p>
    <w:p>
      <w:pPr>
        <w:pStyle w:val="BodyText"/>
        <w:spacing w:line="244" w:lineRule="auto" w:before="94"/>
        <w:ind w:left="1259" w:right="519"/>
      </w:pPr>
      <w:r>
        <w:rPr>
          <w:b/>
        </w:rPr>
        <w:t>IRT:</w:t>
      </w:r>
      <w:r>
        <w:rPr>
          <w:b/>
          <w:spacing w:val="40"/>
        </w:rPr>
        <w:t> </w:t>
      </w:r>
      <w:r>
        <w:rPr/>
        <w:t>Interactive</w:t>
      </w:r>
      <w:r>
        <w:rPr>
          <w:spacing w:val="-3"/>
        </w:rPr>
        <w:t> </w:t>
      </w:r>
      <w:r>
        <w:rPr/>
        <w:t>Response</w:t>
      </w:r>
      <w:r>
        <w:rPr>
          <w:spacing w:val="-1"/>
        </w:rPr>
        <w:t> </w:t>
      </w:r>
      <w:r>
        <w:rPr/>
        <w:t>Technology,</w:t>
      </w:r>
      <w:r>
        <w:rPr>
          <w:spacing w:val="-3"/>
        </w:rPr>
        <w:t> </w:t>
      </w:r>
      <w:r>
        <w:rPr/>
        <w:t>also</w:t>
      </w:r>
      <w:r>
        <w:rPr>
          <w:spacing w:val="-3"/>
        </w:rPr>
        <w:t> </w:t>
      </w:r>
      <w:r>
        <w:rPr/>
        <w:t>known</w:t>
      </w:r>
      <w:r>
        <w:rPr>
          <w:spacing w:val="-3"/>
        </w:rPr>
        <w:t> </w:t>
      </w:r>
      <w:r>
        <w:rPr/>
        <w:t>as</w:t>
      </w:r>
      <w:r>
        <w:rPr>
          <w:spacing w:val="-3"/>
        </w:rPr>
        <w:t> </w:t>
      </w:r>
      <w:r>
        <w:rPr/>
        <w:t>IVRS</w:t>
      </w:r>
      <w:r>
        <w:rPr>
          <w:spacing w:val="-3"/>
        </w:rPr>
        <w:t> </w:t>
      </w:r>
      <w:r>
        <w:rPr/>
        <w:t>or</w:t>
      </w:r>
      <w:r>
        <w:rPr>
          <w:spacing w:val="-3"/>
        </w:rPr>
        <w:t> </w:t>
      </w:r>
      <w:r>
        <w:rPr/>
        <w:t>IWRS</w:t>
      </w:r>
      <w:r>
        <w:rPr>
          <w:spacing w:val="-7"/>
        </w:rPr>
        <w:t> </w:t>
      </w:r>
      <w:r>
        <w:rPr/>
        <w:t>– A</w:t>
      </w:r>
      <w:r>
        <w:rPr>
          <w:spacing w:val="-9"/>
        </w:rPr>
        <w:t> </w:t>
      </w:r>
      <w:r>
        <w:rPr/>
        <w:t>Web</w:t>
      </w:r>
      <w:r>
        <w:rPr>
          <w:spacing w:val="-3"/>
        </w:rPr>
        <w:t> </w:t>
      </w:r>
      <w:r>
        <w:rPr/>
        <w:t>based platform that provides complex subject/activity management functionality and robust management of drug supply and shipping throughout the trial.</w:t>
      </w:r>
    </w:p>
    <w:p>
      <w:pPr>
        <w:pStyle w:val="BodyText"/>
        <w:spacing w:before="5"/>
        <w:rPr>
          <w:sz w:val="19"/>
        </w:rPr>
      </w:pPr>
    </w:p>
    <w:p>
      <w:pPr>
        <w:pStyle w:val="BodyText"/>
        <w:spacing w:line="244" w:lineRule="auto" w:before="1"/>
        <w:ind w:left="1259" w:right="594"/>
      </w:pPr>
      <w:r>
        <w:rPr>
          <w:b/>
        </w:rPr>
        <w:t>IPs:</w:t>
      </w:r>
      <w:r>
        <w:rPr>
          <w:b/>
          <w:spacing w:val="-2"/>
        </w:rPr>
        <w:t> </w:t>
      </w:r>
      <w:r>
        <w:rPr/>
        <w:t>Investigational</w:t>
      </w:r>
      <w:r>
        <w:rPr>
          <w:spacing w:val="-3"/>
        </w:rPr>
        <w:t> </w:t>
      </w:r>
      <w:r>
        <w:rPr/>
        <w:t>Products</w:t>
      </w:r>
      <w:r>
        <w:rPr>
          <w:spacing w:val="-1"/>
        </w:rPr>
        <w:t> </w:t>
      </w:r>
      <w:r>
        <w:rPr/>
        <w:t>–</w:t>
      </w:r>
      <w:r>
        <w:rPr>
          <w:spacing w:val="-4"/>
        </w:rPr>
        <w:t> </w:t>
      </w:r>
      <w:r>
        <w:rPr/>
        <w:t>A</w:t>
      </w:r>
      <w:r>
        <w:rPr>
          <w:spacing w:val="-4"/>
        </w:rPr>
        <w:t> </w:t>
      </w:r>
      <w:r>
        <w:rPr/>
        <w:t>product being</w:t>
      </w:r>
      <w:r>
        <w:rPr>
          <w:spacing w:val="-3"/>
        </w:rPr>
        <w:t> </w:t>
      </w:r>
      <w:r>
        <w:rPr/>
        <w:t>tested</w:t>
      </w:r>
      <w:r>
        <w:rPr>
          <w:spacing w:val="-3"/>
        </w:rPr>
        <w:t> </w:t>
      </w:r>
      <w:r>
        <w:rPr/>
        <w:t>or</w:t>
      </w:r>
      <w:r>
        <w:rPr>
          <w:spacing w:val="-3"/>
        </w:rPr>
        <w:t> </w:t>
      </w:r>
      <w:r>
        <w:rPr/>
        <w:t>used</w:t>
      </w:r>
      <w:r>
        <w:rPr>
          <w:spacing w:val="-3"/>
        </w:rPr>
        <w:t> </w:t>
      </w:r>
      <w:r>
        <w:rPr/>
        <w:t>as</w:t>
      </w:r>
      <w:r>
        <w:rPr>
          <w:spacing w:val="-3"/>
        </w:rPr>
        <w:t> </w:t>
      </w:r>
      <w:r>
        <w:rPr/>
        <w:t>a</w:t>
      </w:r>
      <w:r>
        <w:rPr>
          <w:spacing w:val="-3"/>
        </w:rPr>
        <w:t> </w:t>
      </w:r>
      <w:r>
        <w:rPr/>
        <w:t>reference</w:t>
      </w:r>
      <w:r>
        <w:rPr>
          <w:spacing w:val="-3"/>
        </w:rPr>
        <w:t> </w:t>
      </w:r>
      <w:r>
        <w:rPr/>
        <w:t>in</w:t>
      </w:r>
      <w:r>
        <w:rPr>
          <w:spacing w:val="-3"/>
        </w:rPr>
        <w:t> </w:t>
      </w:r>
      <w:r>
        <w:rPr/>
        <w:t>a clinical trial.</w:t>
      </w:r>
    </w:p>
    <w:p>
      <w:pPr>
        <w:pStyle w:val="BodyText"/>
        <w:spacing w:before="112"/>
        <w:ind w:left="1259" w:right="519"/>
      </w:pPr>
      <w:r>
        <w:rPr>
          <w:b/>
        </w:rPr>
        <w:t>SmPC: </w:t>
      </w:r>
      <w:r>
        <w:rPr/>
        <w:t>Summary</w:t>
      </w:r>
      <w:r>
        <w:rPr>
          <w:spacing w:val="-4"/>
        </w:rPr>
        <w:t> </w:t>
      </w:r>
      <w:r>
        <w:rPr/>
        <w:t>of</w:t>
      </w:r>
      <w:r>
        <w:rPr>
          <w:spacing w:val="-4"/>
        </w:rPr>
        <w:t> </w:t>
      </w:r>
      <w:r>
        <w:rPr/>
        <w:t>Product</w:t>
      </w:r>
      <w:r>
        <w:rPr>
          <w:spacing w:val="-3"/>
        </w:rPr>
        <w:t> </w:t>
      </w:r>
      <w:r>
        <w:rPr/>
        <w:t>Characteristics</w:t>
      </w:r>
      <w:r>
        <w:rPr>
          <w:spacing w:val="-3"/>
        </w:rPr>
        <w:t> </w:t>
      </w:r>
      <w:r>
        <w:rPr/>
        <w:t>–</w:t>
      </w:r>
      <w:r>
        <w:rPr>
          <w:spacing w:val="-5"/>
        </w:rPr>
        <w:t> </w:t>
      </w:r>
      <w:r>
        <w:rPr/>
        <w:t>A</w:t>
      </w:r>
      <w:r>
        <w:rPr>
          <w:spacing w:val="-4"/>
        </w:rPr>
        <w:t> </w:t>
      </w:r>
      <w:r>
        <w:rPr/>
        <w:t>legal</w:t>
      </w:r>
      <w:r>
        <w:rPr>
          <w:spacing w:val="-4"/>
        </w:rPr>
        <w:t> </w:t>
      </w:r>
      <w:r>
        <w:rPr/>
        <w:t>document</w:t>
      </w:r>
      <w:r>
        <w:rPr>
          <w:spacing w:val="-4"/>
        </w:rPr>
        <w:t> </w:t>
      </w:r>
      <w:r>
        <w:rPr/>
        <w:t>approved</w:t>
      </w:r>
      <w:r>
        <w:rPr>
          <w:spacing w:val="-4"/>
        </w:rPr>
        <w:t> </w:t>
      </w:r>
      <w:r>
        <w:rPr/>
        <w:t>as</w:t>
      </w:r>
      <w:r>
        <w:rPr>
          <w:spacing w:val="-4"/>
        </w:rPr>
        <w:t> </w:t>
      </w:r>
      <w:r>
        <w:rPr/>
        <w:t>part</w:t>
      </w:r>
      <w:r>
        <w:rPr>
          <w:spacing w:val="-4"/>
        </w:rPr>
        <w:t> </w:t>
      </w:r>
      <w:r>
        <w:rPr/>
        <w:t>of</w:t>
      </w:r>
      <w:r>
        <w:rPr>
          <w:spacing w:val="-4"/>
        </w:rPr>
        <w:t> </w:t>
      </w:r>
      <w:r>
        <w:rPr/>
        <w:t>the marketing authorization of each medicine; it is the basis of information for healthcare professional on how to use the medicine, which information is updated throughout the lifecycle of the product as new data emerge.</w:t>
      </w:r>
    </w:p>
    <w:p>
      <w:pPr>
        <w:pStyle w:val="BodyText"/>
        <w:rPr>
          <w:sz w:val="24"/>
        </w:rPr>
      </w:pPr>
    </w:p>
    <w:p>
      <w:pPr>
        <w:pStyle w:val="BodyText"/>
        <w:spacing w:before="1"/>
        <w:rPr>
          <w:sz w:val="29"/>
        </w:rPr>
      </w:pPr>
    </w:p>
    <w:p>
      <w:pPr>
        <w:pStyle w:val="ListParagraph"/>
        <w:numPr>
          <w:ilvl w:val="0"/>
          <w:numId w:val="1"/>
        </w:numPr>
        <w:tabs>
          <w:tab w:pos="1259" w:val="left" w:leader="none"/>
          <w:tab w:pos="1260" w:val="left" w:leader="none"/>
        </w:tabs>
        <w:spacing w:line="240" w:lineRule="auto" w:before="0" w:after="0"/>
        <w:ind w:left="1260" w:right="0" w:hanging="721"/>
        <w:jc w:val="left"/>
        <w:rPr>
          <w:b/>
          <w:sz w:val="22"/>
        </w:rPr>
      </w:pPr>
      <w:r>
        <w:rPr>
          <w:b/>
          <w:sz w:val="22"/>
        </w:rPr>
        <w:t>MATERIAL</w:t>
      </w:r>
      <w:r>
        <w:rPr>
          <w:b/>
          <w:spacing w:val="-9"/>
          <w:sz w:val="22"/>
        </w:rPr>
        <w:t> </w:t>
      </w:r>
      <w:r>
        <w:rPr>
          <w:b/>
          <w:sz w:val="22"/>
        </w:rPr>
        <w:t>AND</w:t>
      </w:r>
      <w:r>
        <w:rPr>
          <w:b/>
          <w:spacing w:val="-9"/>
          <w:sz w:val="22"/>
        </w:rPr>
        <w:t> </w:t>
      </w:r>
      <w:r>
        <w:rPr>
          <w:b/>
          <w:spacing w:val="-2"/>
          <w:sz w:val="22"/>
        </w:rPr>
        <w:t>EQUIPMENT</w:t>
      </w:r>
    </w:p>
    <w:p>
      <w:pPr>
        <w:pStyle w:val="BodyText"/>
        <w:spacing w:before="127"/>
        <w:ind w:left="1259"/>
      </w:pPr>
      <w:r>
        <w:rPr/>
        <w:t>Trial</w:t>
      </w:r>
      <w:r>
        <w:rPr>
          <w:spacing w:val="-5"/>
        </w:rPr>
        <w:t> </w:t>
      </w:r>
      <w:r>
        <w:rPr/>
        <w:t>Master</w:t>
      </w:r>
      <w:r>
        <w:rPr>
          <w:spacing w:val="-5"/>
        </w:rPr>
        <w:t> </w:t>
      </w:r>
      <w:r>
        <w:rPr/>
        <w:t>File</w:t>
      </w:r>
      <w:r>
        <w:rPr>
          <w:spacing w:val="-5"/>
        </w:rPr>
        <w:t> </w:t>
      </w:r>
      <w:r>
        <w:rPr>
          <w:spacing w:val="-2"/>
        </w:rPr>
        <w:t>(TMF)</w:t>
      </w:r>
    </w:p>
    <w:p>
      <w:pPr>
        <w:pStyle w:val="BodyText"/>
        <w:spacing w:before="6"/>
        <w:rPr>
          <w:sz w:val="20"/>
        </w:rPr>
      </w:pPr>
    </w:p>
    <w:p>
      <w:pPr>
        <w:pStyle w:val="ListParagraph"/>
        <w:numPr>
          <w:ilvl w:val="0"/>
          <w:numId w:val="1"/>
        </w:numPr>
        <w:tabs>
          <w:tab w:pos="1259" w:val="left" w:leader="none"/>
          <w:tab w:pos="1260" w:val="left" w:leader="none"/>
        </w:tabs>
        <w:spacing w:line="240" w:lineRule="auto" w:before="0" w:after="0"/>
        <w:ind w:left="1260" w:right="0" w:hanging="721"/>
        <w:jc w:val="left"/>
        <w:rPr>
          <w:b/>
          <w:sz w:val="22"/>
        </w:rPr>
      </w:pPr>
      <w:r>
        <w:rPr>
          <w:b/>
          <w:spacing w:val="-2"/>
          <w:sz w:val="22"/>
        </w:rPr>
        <w:t>PROCEDURE</w:t>
      </w:r>
    </w:p>
    <w:p>
      <w:pPr>
        <w:pStyle w:val="BodyText"/>
        <w:rPr>
          <w:b/>
          <w:sz w:val="21"/>
        </w:rPr>
      </w:pPr>
    </w:p>
    <w:p>
      <w:pPr>
        <w:pStyle w:val="BodyText"/>
        <w:ind w:left="1979" w:right="519"/>
      </w:pPr>
      <w:r>
        <w:rPr/>
        <w:t>Timelines</w:t>
      </w:r>
      <w:r>
        <w:rPr>
          <w:spacing w:val="-4"/>
        </w:rPr>
        <w:t> </w:t>
      </w:r>
      <w:r>
        <w:rPr/>
        <w:t>given</w:t>
      </w:r>
      <w:r>
        <w:rPr>
          <w:spacing w:val="-4"/>
        </w:rPr>
        <w:t> </w:t>
      </w:r>
      <w:r>
        <w:rPr/>
        <w:t>for</w:t>
      </w:r>
      <w:r>
        <w:rPr>
          <w:spacing w:val="-4"/>
        </w:rPr>
        <w:t> </w:t>
      </w:r>
      <w:r>
        <w:rPr/>
        <w:t>each</w:t>
      </w:r>
      <w:r>
        <w:rPr>
          <w:spacing w:val="-4"/>
        </w:rPr>
        <w:t> </w:t>
      </w:r>
      <w:r>
        <w:rPr/>
        <w:t>step</w:t>
      </w:r>
      <w:r>
        <w:rPr>
          <w:spacing w:val="-4"/>
        </w:rPr>
        <w:t> </w:t>
      </w:r>
      <w:r>
        <w:rPr/>
        <w:t>are</w:t>
      </w:r>
      <w:r>
        <w:rPr>
          <w:spacing w:val="-4"/>
        </w:rPr>
        <w:t> </w:t>
      </w:r>
      <w:r>
        <w:rPr/>
        <w:t>for</w:t>
      </w:r>
      <w:r>
        <w:rPr>
          <w:spacing w:val="-4"/>
        </w:rPr>
        <w:t> </w:t>
      </w:r>
      <w:r>
        <w:rPr/>
        <w:t>guideline</w:t>
      </w:r>
      <w:r>
        <w:rPr>
          <w:spacing w:val="-4"/>
        </w:rPr>
        <w:t> </w:t>
      </w:r>
      <w:r>
        <w:rPr/>
        <w:t>purposes</w:t>
      </w:r>
      <w:r>
        <w:rPr>
          <w:spacing w:val="-4"/>
        </w:rPr>
        <w:t> </w:t>
      </w:r>
      <w:r>
        <w:rPr/>
        <w:t>only.</w:t>
      </w:r>
      <w:r>
        <w:rPr>
          <w:spacing w:val="-4"/>
        </w:rPr>
        <w:t> </w:t>
      </w:r>
      <w:r>
        <w:rPr/>
        <w:t>The</w:t>
      </w:r>
      <w:r>
        <w:rPr>
          <w:spacing w:val="-4"/>
        </w:rPr>
        <w:t> </w:t>
      </w:r>
      <w:r>
        <w:rPr/>
        <w:t>bespoke requirements of individual studies may impact the timelines.</w:t>
      </w:r>
    </w:p>
    <w:p>
      <w:pPr>
        <w:pStyle w:val="BodyText"/>
        <w:spacing w:before="8"/>
        <w:rPr>
          <w:sz w:val="20"/>
        </w:rPr>
      </w:pPr>
    </w:p>
    <w:p>
      <w:pPr>
        <w:pStyle w:val="ListParagraph"/>
        <w:numPr>
          <w:ilvl w:val="1"/>
          <w:numId w:val="1"/>
        </w:numPr>
        <w:tabs>
          <w:tab w:pos="1979" w:val="left" w:leader="none"/>
          <w:tab w:pos="1980" w:val="left" w:leader="none"/>
        </w:tabs>
        <w:spacing w:line="240" w:lineRule="auto" w:before="0" w:after="0"/>
        <w:ind w:left="1980" w:right="0" w:hanging="721"/>
        <w:jc w:val="left"/>
        <w:rPr>
          <w:b/>
          <w:sz w:val="22"/>
        </w:rPr>
      </w:pPr>
      <w:r>
        <w:rPr>
          <w:b/>
          <w:sz w:val="22"/>
        </w:rPr>
        <w:t>Oversight</w:t>
      </w:r>
      <w:r>
        <w:rPr>
          <w:b/>
          <w:spacing w:val="-7"/>
          <w:sz w:val="22"/>
        </w:rPr>
        <w:t> </w:t>
      </w:r>
      <w:r>
        <w:rPr>
          <w:b/>
          <w:sz w:val="22"/>
        </w:rPr>
        <w:t>of</w:t>
      </w:r>
      <w:r>
        <w:rPr>
          <w:b/>
          <w:spacing w:val="-6"/>
          <w:sz w:val="22"/>
        </w:rPr>
        <w:t> </w:t>
      </w:r>
      <w:r>
        <w:rPr>
          <w:b/>
          <w:sz w:val="22"/>
        </w:rPr>
        <w:t>Returned</w:t>
      </w:r>
      <w:r>
        <w:rPr>
          <w:b/>
          <w:spacing w:val="-6"/>
          <w:sz w:val="22"/>
        </w:rPr>
        <w:t> </w:t>
      </w:r>
      <w:r>
        <w:rPr>
          <w:b/>
          <w:sz w:val="22"/>
        </w:rPr>
        <w:t>Goods</w:t>
      </w:r>
      <w:r>
        <w:rPr>
          <w:b/>
          <w:spacing w:val="-7"/>
          <w:sz w:val="22"/>
        </w:rPr>
        <w:t> </w:t>
      </w:r>
      <w:r>
        <w:rPr>
          <w:b/>
          <w:sz w:val="22"/>
        </w:rPr>
        <w:t>and</w:t>
      </w:r>
      <w:r>
        <w:rPr>
          <w:b/>
          <w:spacing w:val="-6"/>
          <w:sz w:val="22"/>
        </w:rPr>
        <w:t> </w:t>
      </w:r>
      <w:r>
        <w:rPr>
          <w:b/>
          <w:sz w:val="22"/>
        </w:rPr>
        <w:t>The</w:t>
      </w:r>
      <w:r>
        <w:rPr>
          <w:b/>
          <w:spacing w:val="-6"/>
          <w:sz w:val="22"/>
        </w:rPr>
        <w:t> </w:t>
      </w:r>
      <w:r>
        <w:rPr>
          <w:b/>
          <w:sz w:val="22"/>
        </w:rPr>
        <w:t>Reconciliation</w:t>
      </w:r>
      <w:r>
        <w:rPr>
          <w:b/>
          <w:spacing w:val="-5"/>
          <w:sz w:val="22"/>
        </w:rPr>
        <w:t> </w:t>
      </w:r>
      <w:r>
        <w:rPr>
          <w:b/>
          <w:spacing w:val="-2"/>
          <w:sz w:val="22"/>
        </w:rPr>
        <w:t>Process</w:t>
      </w:r>
    </w:p>
    <w:p>
      <w:pPr>
        <w:pStyle w:val="BodyText"/>
        <w:spacing w:before="122"/>
        <w:ind w:left="1979" w:right="594"/>
      </w:pPr>
      <w:r>
        <w:rPr/>
        <w:t>Strategy</w:t>
      </w:r>
      <w:r>
        <w:rPr>
          <w:spacing w:val="-4"/>
        </w:rPr>
        <w:t> </w:t>
      </w:r>
      <w:r>
        <w:rPr/>
        <w:t>for</w:t>
      </w:r>
      <w:r>
        <w:rPr>
          <w:spacing w:val="-4"/>
        </w:rPr>
        <w:t> </w:t>
      </w:r>
      <w:r>
        <w:rPr/>
        <w:t>the</w:t>
      </w:r>
      <w:r>
        <w:rPr>
          <w:spacing w:val="-4"/>
        </w:rPr>
        <w:t> </w:t>
      </w:r>
      <w:r>
        <w:rPr/>
        <w:t>destruction</w:t>
      </w:r>
      <w:r>
        <w:rPr>
          <w:spacing w:val="-4"/>
        </w:rPr>
        <w:t> </w:t>
      </w:r>
      <w:r>
        <w:rPr/>
        <w:t>of</w:t>
      </w:r>
      <w:r>
        <w:rPr>
          <w:spacing w:val="-4"/>
        </w:rPr>
        <w:t> </w:t>
      </w:r>
      <w:r>
        <w:rPr/>
        <w:t>damaged,</w:t>
      </w:r>
      <w:r>
        <w:rPr>
          <w:spacing w:val="-4"/>
        </w:rPr>
        <w:t> </w:t>
      </w:r>
      <w:r>
        <w:rPr/>
        <w:t>unused</w:t>
      </w:r>
      <w:r>
        <w:rPr>
          <w:spacing w:val="-4"/>
        </w:rPr>
        <w:t> </w:t>
      </w:r>
      <w:r>
        <w:rPr/>
        <w:t>and/or</w:t>
      </w:r>
      <w:r>
        <w:rPr>
          <w:spacing w:val="-4"/>
        </w:rPr>
        <w:t> </w:t>
      </w:r>
      <w:r>
        <w:rPr/>
        <w:t>expired</w:t>
      </w:r>
      <w:r>
        <w:rPr>
          <w:spacing w:val="-4"/>
        </w:rPr>
        <w:t> </w:t>
      </w:r>
      <w:r>
        <w:rPr/>
        <w:t>clinical</w:t>
      </w:r>
      <w:r>
        <w:rPr>
          <w:spacing w:val="-4"/>
        </w:rPr>
        <w:t> </w:t>
      </w:r>
      <w:r>
        <w:rPr/>
        <w:t>supplies is devised and agreed upon at the start of all studies.</w:t>
      </w:r>
    </w:p>
    <w:p>
      <w:pPr>
        <w:pStyle w:val="BodyText"/>
        <w:spacing w:before="7" w:after="1"/>
        <w:rPr>
          <w:sz w:val="10"/>
        </w:rPr>
      </w:pPr>
    </w:p>
    <w:tbl>
      <w:tblPr>
        <w:tblW w:w="0" w:type="auto"/>
        <w:jc w:val="left"/>
        <w:tblInd w:w="19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797"/>
        <w:gridCol w:w="1162"/>
        <w:gridCol w:w="6264"/>
        <w:gridCol w:w="1843"/>
      </w:tblGrid>
      <w:tr>
        <w:trPr>
          <w:trHeight w:val="311" w:hRule="atLeast"/>
        </w:trPr>
        <w:tc>
          <w:tcPr>
            <w:tcW w:w="797" w:type="dxa"/>
            <w:shd w:val="clear" w:color="auto" w:fill="D9D9D9"/>
          </w:tcPr>
          <w:p>
            <w:pPr>
              <w:pStyle w:val="TableParagraph"/>
              <w:spacing w:before="38"/>
              <w:ind w:left="115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No:</w:t>
            </w:r>
          </w:p>
        </w:tc>
        <w:tc>
          <w:tcPr>
            <w:tcW w:w="1162" w:type="dxa"/>
            <w:shd w:val="clear" w:color="auto" w:fill="D9D9D9"/>
          </w:tcPr>
          <w:p>
            <w:pPr>
              <w:pStyle w:val="TableParagraph"/>
              <w:spacing w:before="38"/>
              <w:ind w:left="110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Who:</w:t>
            </w:r>
          </w:p>
        </w:tc>
        <w:tc>
          <w:tcPr>
            <w:tcW w:w="6264" w:type="dxa"/>
            <w:shd w:val="clear" w:color="auto" w:fill="D9D9D9"/>
          </w:tcPr>
          <w:p>
            <w:pPr>
              <w:pStyle w:val="TableParagraph"/>
              <w:spacing w:before="38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Step:</w:t>
            </w:r>
          </w:p>
        </w:tc>
        <w:tc>
          <w:tcPr>
            <w:tcW w:w="1843" w:type="dxa"/>
            <w:shd w:val="clear" w:color="auto" w:fill="D9D9D9"/>
          </w:tcPr>
          <w:p>
            <w:pPr>
              <w:pStyle w:val="TableParagraph"/>
              <w:spacing w:before="38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When:</w:t>
            </w:r>
          </w:p>
        </w:tc>
      </w:tr>
      <w:tr>
        <w:trPr>
          <w:trHeight w:val="2039" w:hRule="atLeast"/>
        </w:trPr>
        <w:tc>
          <w:tcPr>
            <w:tcW w:w="797" w:type="dxa"/>
          </w:tcPr>
          <w:p>
            <w:pPr>
              <w:pStyle w:val="TableParagraph"/>
              <w:ind w:left="172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6.1.1</w:t>
            </w:r>
          </w:p>
        </w:tc>
        <w:tc>
          <w:tcPr>
            <w:tcW w:w="1162" w:type="dxa"/>
          </w:tcPr>
          <w:p>
            <w:pPr>
              <w:pStyle w:val="TableParagraph"/>
              <w:spacing w:before="38"/>
              <w:ind w:left="110"/>
              <w:rPr>
                <w:sz w:val="22"/>
              </w:rPr>
            </w:pPr>
            <w:r>
              <w:rPr>
                <w:spacing w:val="-5"/>
                <w:sz w:val="22"/>
              </w:rPr>
              <w:t>CTS</w:t>
            </w:r>
          </w:p>
          <w:p>
            <w:pPr>
              <w:pStyle w:val="TableParagraph"/>
              <w:spacing w:before="1"/>
              <w:ind w:left="110"/>
              <w:rPr>
                <w:sz w:val="22"/>
              </w:rPr>
            </w:pPr>
            <w:r>
              <w:rPr>
                <w:spacing w:val="-4"/>
                <w:sz w:val="22"/>
              </w:rPr>
              <w:t>Team</w:t>
            </w:r>
          </w:p>
        </w:tc>
        <w:tc>
          <w:tcPr>
            <w:tcW w:w="6264" w:type="dxa"/>
          </w:tcPr>
          <w:p>
            <w:pPr>
              <w:pStyle w:val="TableParagraph"/>
              <w:spacing w:before="38"/>
              <w:ind w:right="492"/>
              <w:jc w:val="both"/>
              <w:rPr>
                <w:sz w:val="20"/>
              </w:rPr>
            </w:pPr>
            <w:r>
              <w:rPr>
                <w:sz w:val="20"/>
              </w:rPr>
              <w:t>Liaise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with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sponsor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study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team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determine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level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of accountability and reconcilation (i.e. tablet/capsule/vial level, kit level etc) to be performed.</w:t>
            </w:r>
          </w:p>
          <w:p>
            <w:pPr>
              <w:pStyle w:val="TableParagraph"/>
              <w:spacing w:before="9"/>
              <w:ind w:left="0"/>
              <w:rPr>
                <w:sz w:val="26"/>
              </w:rPr>
            </w:pPr>
          </w:p>
          <w:p>
            <w:pPr>
              <w:pStyle w:val="TableParagraph"/>
              <w:spacing w:before="0"/>
              <w:ind w:right="183"/>
              <w:rPr>
                <w:sz w:val="20"/>
              </w:rPr>
            </w:pPr>
            <w:r>
              <w:rPr>
                <w:sz w:val="20"/>
              </w:rPr>
              <w:t>For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instructions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on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accountability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performed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at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clinical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sites,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see CS_WI_SM0010 Investigational Product (IP) Handling and </w:t>
            </w:r>
            <w:r>
              <w:rPr>
                <w:spacing w:val="-2"/>
                <w:sz w:val="20"/>
              </w:rPr>
              <w:t>Monitoring.</w:t>
            </w:r>
          </w:p>
        </w:tc>
        <w:tc>
          <w:tcPr>
            <w:tcW w:w="1843" w:type="dxa"/>
          </w:tcPr>
          <w:p>
            <w:pPr>
              <w:pStyle w:val="TableParagraph"/>
              <w:ind w:left="167"/>
              <w:rPr>
                <w:sz w:val="20"/>
              </w:rPr>
            </w:pPr>
            <w:r>
              <w:rPr>
                <w:sz w:val="20"/>
              </w:rPr>
              <w:t>Study</w:t>
            </w:r>
            <w:r>
              <w:rPr>
                <w:spacing w:val="-5"/>
                <w:sz w:val="20"/>
              </w:rPr>
              <w:t> </w:t>
            </w:r>
            <w:r>
              <w:rPr>
                <w:spacing w:val="-2"/>
                <w:sz w:val="20"/>
              </w:rPr>
              <w:t>Start</w:t>
            </w:r>
          </w:p>
        </w:tc>
      </w:tr>
      <w:tr>
        <w:trPr>
          <w:trHeight w:val="2039" w:hRule="atLeast"/>
        </w:trPr>
        <w:tc>
          <w:tcPr>
            <w:tcW w:w="797" w:type="dxa"/>
          </w:tcPr>
          <w:p>
            <w:pPr>
              <w:pStyle w:val="TableParagraph"/>
              <w:ind w:left="172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6.1.2</w:t>
            </w:r>
          </w:p>
        </w:tc>
        <w:tc>
          <w:tcPr>
            <w:tcW w:w="1162" w:type="dxa"/>
          </w:tcPr>
          <w:p>
            <w:pPr>
              <w:pStyle w:val="TableParagraph"/>
              <w:spacing w:before="38"/>
              <w:ind w:left="110"/>
              <w:rPr>
                <w:sz w:val="22"/>
              </w:rPr>
            </w:pPr>
            <w:r>
              <w:rPr>
                <w:spacing w:val="-5"/>
                <w:sz w:val="22"/>
              </w:rPr>
              <w:t>CTS</w:t>
            </w:r>
          </w:p>
          <w:p>
            <w:pPr>
              <w:pStyle w:val="TableParagraph"/>
              <w:spacing w:before="1"/>
              <w:ind w:left="110"/>
              <w:rPr>
                <w:sz w:val="22"/>
              </w:rPr>
            </w:pPr>
            <w:r>
              <w:rPr>
                <w:spacing w:val="-4"/>
                <w:sz w:val="22"/>
              </w:rPr>
              <w:t>Team</w:t>
            </w:r>
          </w:p>
        </w:tc>
        <w:tc>
          <w:tcPr>
            <w:tcW w:w="6264" w:type="dxa"/>
          </w:tcPr>
          <w:p>
            <w:pPr>
              <w:pStyle w:val="TableParagraph"/>
              <w:spacing w:before="38"/>
              <w:rPr>
                <w:sz w:val="20"/>
              </w:rPr>
            </w:pPr>
            <w:r>
              <w:rPr>
                <w:sz w:val="20"/>
              </w:rPr>
              <w:t>Liaise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with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sponsor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study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team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in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order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understand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if destruction can be performed at site or if material needs to be returned to local depots for destruction.</w:t>
            </w:r>
          </w:p>
          <w:p>
            <w:pPr>
              <w:pStyle w:val="TableParagraph"/>
              <w:spacing w:before="4"/>
              <w:ind w:left="0"/>
              <w:rPr>
                <w:sz w:val="27"/>
              </w:rPr>
            </w:pPr>
          </w:p>
          <w:p>
            <w:pPr>
              <w:pStyle w:val="TableParagraph"/>
              <w:spacing w:line="237" w:lineRule="auto" w:before="0"/>
              <w:ind w:right="183"/>
              <w:rPr>
                <w:sz w:val="20"/>
              </w:rPr>
            </w:pPr>
            <w:r>
              <w:rPr>
                <w:sz w:val="20"/>
              </w:rPr>
              <w:t>For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instructions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on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destruction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performed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at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clinical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sites,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see CS_WI_SM0010 Investigational Product (IP) Handling and </w:t>
            </w:r>
            <w:r>
              <w:rPr>
                <w:spacing w:val="-2"/>
                <w:sz w:val="20"/>
              </w:rPr>
              <w:t>Monitoring</w:t>
            </w:r>
          </w:p>
        </w:tc>
        <w:tc>
          <w:tcPr>
            <w:tcW w:w="1843" w:type="dxa"/>
          </w:tcPr>
          <w:p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  <w:t>Study</w:t>
            </w:r>
            <w:r>
              <w:rPr>
                <w:spacing w:val="-5"/>
                <w:sz w:val="20"/>
              </w:rPr>
              <w:t> </w:t>
            </w:r>
            <w:r>
              <w:rPr>
                <w:spacing w:val="-2"/>
                <w:sz w:val="20"/>
              </w:rPr>
              <w:t>Start</w:t>
            </w:r>
          </w:p>
        </w:tc>
      </w:tr>
    </w:tbl>
    <w:p>
      <w:pPr>
        <w:spacing w:after="0"/>
        <w:rPr>
          <w:sz w:val="20"/>
        </w:rPr>
        <w:sectPr>
          <w:headerReference w:type="default" r:id="rId7"/>
          <w:footerReference w:type="default" r:id="rId8"/>
          <w:pgSz w:w="12240" w:h="15840"/>
          <w:pgMar w:header="979" w:footer="952" w:top="2760" w:bottom="1140" w:left="900" w:right="960"/>
        </w:sectPr>
      </w:pPr>
    </w:p>
    <w:p>
      <w:pPr>
        <w:pStyle w:val="BodyText"/>
        <w:spacing w:before="1"/>
      </w:pPr>
    </w:p>
    <w:tbl>
      <w:tblPr>
        <w:tblW w:w="0" w:type="auto"/>
        <w:jc w:val="left"/>
        <w:tblInd w:w="19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797"/>
        <w:gridCol w:w="1162"/>
        <w:gridCol w:w="6264"/>
        <w:gridCol w:w="1843"/>
      </w:tblGrid>
      <w:tr>
        <w:trPr>
          <w:trHeight w:val="311" w:hRule="atLeast"/>
        </w:trPr>
        <w:tc>
          <w:tcPr>
            <w:tcW w:w="797" w:type="dxa"/>
            <w:shd w:val="clear" w:color="auto" w:fill="D9D9D9"/>
          </w:tcPr>
          <w:p>
            <w:pPr>
              <w:pStyle w:val="TableParagraph"/>
              <w:ind w:left="115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No:</w:t>
            </w:r>
          </w:p>
        </w:tc>
        <w:tc>
          <w:tcPr>
            <w:tcW w:w="1162" w:type="dxa"/>
            <w:shd w:val="clear" w:color="auto" w:fill="D9D9D9"/>
          </w:tcPr>
          <w:p>
            <w:pPr>
              <w:pStyle w:val="TableParagraph"/>
              <w:ind w:left="110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Who:</w:t>
            </w:r>
          </w:p>
        </w:tc>
        <w:tc>
          <w:tcPr>
            <w:tcW w:w="6264" w:type="dxa"/>
            <w:shd w:val="clear" w:color="auto" w:fill="D9D9D9"/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Step:</w:t>
            </w:r>
          </w:p>
        </w:tc>
        <w:tc>
          <w:tcPr>
            <w:tcW w:w="1843" w:type="dxa"/>
            <w:shd w:val="clear" w:color="auto" w:fill="D9D9D9"/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When:</w:t>
            </w:r>
          </w:p>
        </w:tc>
      </w:tr>
      <w:tr>
        <w:trPr>
          <w:trHeight w:val="2140" w:hRule="atLeast"/>
        </w:trPr>
        <w:tc>
          <w:tcPr>
            <w:tcW w:w="797" w:type="dxa"/>
          </w:tcPr>
          <w:p>
            <w:pPr>
              <w:pStyle w:val="TableParagraph"/>
              <w:ind w:left="172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6.1.3</w:t>
            </w:r>
          </w:p>
        </w:tc>
        <w:tc>
          <w:tcPr>
            <w:tcW w:w="1162" w:type="dxa"/>
          </w:tcPr>
          <w:p>
            <w:pPr>
              <w:pStyle w:val="TableParagraph"/>
              <w:spacing w:before="0"/>
              <w:ind w:left="110"/>
              <w:rPr>
                <w:sz w:val="22"/>
              </w:rPr>
            </w:pPr>
            <w:r>
              <w:rPr>
                <w:spacing w:val="-5"/>
                <w:sz w:val="22"/>
              </w:rPr>
              <w:t>CTS</w:t>
            </w:r>
          </w:p>
          <w:p>
            <w:pPr>
              <w:pStyle w:val="TableParagraph"/>
              <w:spacing w:before="1"/>
              <w:ind w:left="110"/>
              <w:rPr>
                <w:sz w:val="22"/>
              </w:rPr>
            </w:pPr>
            <w:r>
              <w:rPr>
                <w:spacing w:val="-4"/>
                <w:sz w:val="22"/>
              </w:rPr>
              <w:t>Team</w:t>
            </w:r>
          </w:p>
        </w:tc>
        <w:tc>
          <w:tcPr>
            <w:tcW w:w="6264" w:type="dxa"/>
          </w:tcPr>
          <w:p>
            <w:pPr>
              <w:pStyle w:val="TableParagraph"/>
              <w:spacing w:before="57"/>
              <w:ind w:right="183"/>
              <w:rPr>
                <w:sz w:val="20"/>
              </w:rPr>
            </w:pPr>
            <w:r>
              <w:rPr>
                <w:sz w:val="20"/>
              </w:rPr>
              <w:t>Ensure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any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relevant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vendor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quotes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contain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required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budget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for the execution of the agreed upon reconciliation and destruction strategy (where applicable).</w:t>
            </w:r>
          </w:p>
          <w:p>
            <w:pPr>
              <w:pStyle w:val="TableParagraph"/>
              <w:spacing w:before="1"/>
              <w:ind w:left="0"/>
              <w:rPr>
                <w:sz w:val="30"/>
              </w:rPr>
            </w:pPr>
          </w:p>
          <w:p>
            <w:pPr>
              <w:pStyle w:val="TableParagraph"/>
              <w:spacing w:before="1"/>
              <w:rPr>
                <w:sz w:val="20"/>
              </w:rPr>
            </w:pPr>
            <w:r>
              <w:rPr>
                <w:b/>
                <w:sz w:val="20"/>
              </w:rPr>
              <w:t>Note:</w:t>
            </w:r>
            <w:r>
              <w:rPr>
                <w:b/>
                <w:spacing w:val="-1"/>
                <w:sz w:val="20"/>
              </w:rPr>
              <w:t> </w:t>
            </w:r>
            <w:r>
              <w:rPr>
                <w:sz w:val="20"/>
              </w:rPr>
              <w:t>Prior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closing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out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all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Purchase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Orders,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CTS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will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ensure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all outstanding invoices have been received from all vendors and processed accordingly.</w:t>
            </w:r>
          </w:p>
        </w:tc>
        <w:tc>
          <w:tcPr>
            <w:tcW w:w="1843" w:type="dxa"/>
          </w:tcPr>
          <w:p>
            <w:pPr>
              <w:pStyle w:val="TableParagraph"/>
              <w:spacing w:before="38"/>
              <w:rPr>
                <w:sz w:val="20"/>
              </w:rPr>
            </w:pPr>
            <w:r>
              <w:rPr>
                <w:spacing w:val="-2"/>
                <w:sz w:val="20"/>
              </w:rPr>
              <w:t>Following</w:t>
            </w:r>
            <w:r>
              <w:rPr>
                <w:sz w:val="20"/>
              </w:rPr>
              <w:t> </w:t>
            </w:r>
            <w:r>
              <w:rPr>
                <w:spacing w:val="-2"/>
                <w:sz w:val="20"/>
              </w:rPr>
              <w:t>steps</w:t>
            </w:r>
          </w:p>
          <w:p>
            <w:pPr>
              <w:pStyle w:val="TableParagraph"/>
              <w:spacing w:before="0"/>
              <w:rPr>
                <w:sz w:val="20"/>
              </w:rPr>
            </w:pPr>
            <w:r>
              <w:rPr>
                <w:sz w:val="20"/>
              </w:rPr>
              <w:t>6.1.1 and 6.1.2 if local depot is </w:t>
            </w:r>
            <w:r>
              <w:rPr>
                <w:spacing w:val="-2"/>
                <w:sz w:val="20"/>
              </w:rPr>
              <w:t>performing </w:t>
            </w:r>
            <w:r>
              <w:rPr>
                <w:sz w:val="20"/>
              </w:rPr>
              <w:t>reconciliation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and </w:t>
            </w:r>
            <w:r>
              <w:rPr>
                <w:spacing w:val="-2"/>
                <w:sz w:val="20"/>
              </w:rPr>
              <w:t>destruction</w:t>
            </w:r>
          </w:p>
        </w:tc>
      </w:tr>
      <w:tr>
        <w:trPr>
          <w:trHeight w:val="1228" w:hRule="atLeast"/>
        </w:trPr>
        <w:tc>
          <w:tcPr>
            <w:tcW w:w="797" w:type="dxa"/>
          </w:tcPr>
          <w:p>
            <w:pPr>
              <w:pStyle w:val="TableParagraph"/>
              <w:ind w:left="172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6.1.4</w:t>
            </w:r>
          </w:p>
        </w:tc>
        <w:tc>
          <w:tcPr>
            <w:tcW w:w="1162" w:type="dxa"/>
          </w:tcPr>
          <w:p>
            <w:pPr>
              <w:pStyle w:val="TableParagraph"/>
              <w:spacing w:before="0"/>
              <w:ind w:left="110"/>
              <w:rPr>
                <w:sz w:val="22"/>
              </w:rPr>
            </w:pPr>
            <w:r>
              <w:rPr>
                <w:spacing w:val="-5"/>
                <w:sz w:val="22"/>
              </w:rPr>
              <w:t>CTS</w:t>
            </w:r>
          </w:p>
          <w:p>
            <w:pPr>
              <w:pStyle w:val="TableParagraph"/>
              <w:spacing w:before="1"/>
              <w:ind w:left="110"/>
              <w:rPr>
                <w:sz w:val="22"/>
              </w:rPr>
            </w:pPr>
            <w:r>
              <w:rPr>
                <w:spacing w:val="-4"/>
                <w:sz w:val="22"/>
              </w:rPr>
              <w:t>Team</w:t>
            </w:r>
          </w:p>
        </w:tc>
        <w:tc>
          <w:tcPr>
            <w:tcW w:w="6264" w:type="dxa"/>
          </w:tcPr>
          <w:p>
            <w:pPr>
              <w:pStyle w:val="TableParagraph"/>
              <w:spacing w:before="38"/>
              <w:ind w:right="183"/>
              <w:rPr>
                <w:sz w:val="20"/>
              </w:rPr>
            </w:pPr>
            <w:r>
              <w:rPr>
                <w:sz w:val="20"/>
              </w:rPr>
              <w:t>Liaise with the clinical team, distribution vendor, IRT vendors and any other vendors required to ensure the return and destructions process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runs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smoothly.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CTS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must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ensure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that</w:t>
            </w:r>
            <w:r>
              <w:rPr>
                <w:spacing w:val="-1"/>
                <w:sz w:val="20"/>
              </w:rPr>
              <w:t> </w:t>
            </w:r>
            <w:r>
              <w:rPr>
                <w:sz w:val="20"/>
              </w:rPr>
              <w:t>all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requirements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are met, and any discrepancies are investigated by the team and recorded appropriately.</w:t>
            </w:r>
          </w:p>
        </w:tc>
        <w:tc>
          <w:tcPr>
            <w:tcW w:w="1843" w:type="dxa"/>
          </w:tcPr>
          <w:p>
            <w:pPr>
              <w:pStyle w:val="TableParagraph"/>
              <w:spacing w:before="38"/>
              <w:ind w:right="217"/>
              <w:rPr>
                <w:sz w:val="20"/>
              </w:rPr>
            </w:pPr>
            <w:r>
              <w:rPr>
                <w:sz w:val="20"/>
              </w:rPr>
              <w:t>During Study Close Out or When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Required</w:t>
            </w:r>
          </w:p>
        </w:tc>
      </w:tr>
      <w:tr>
        <w:trPr>
          <w:trHeight w:val="2769" w:hRule="atLeast"/>
        </w:trPr>
        <w:tc>
          <w:tcPr>
            <w:tcW w:w="797" w:type="dxa"/>
          </w:tcPr>
          <w:p>
            <w:pPr>
              <w:pStyle w:val="TableParagraph"/>
              <w:ind w:left="172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6.1.5</w:t>
            </w:r>
          </w:p>
        </w:tc>
        <w:tc>
          <w:tcPr>
            <w:tcW w:w="1162" w:type="dxa"/>
          </w:tcPr>
          <w:p>
            <w:pPr>
              <w:pStyle w:val="TableParagraph"/>
              <w:spacing w:before="0"/>
              <w:ind w:left="110"/>
              <w:rPr>
                <w:sz w:val="22"/>
              </w:rPr>
            </w:pPr>
            <w:r>
              <w:rPr>
                <w:spacing w:val="-5"/>
                <w:sz w:val="22"/>
              </w:rPr>
              <w:t>CTS</w:t>
            </w:r>
          </w:p>
          <w:p>
            <w:pPr>
              <w:pStyle w:val="TableParagraph"/>
              <w:spacing w:before="1"/>
              <w:ind w:left="110"/>
              <w:rPr>
                <w:sz w:val="22"/>
              </w:rPr>
            </w:pPr>
            <w:r>
              <w:rPr>
                <w:spacing w:val="-4"/>
                <w:sz w:val="22"/>
              </w:rPr>
              <w:t>Team</w:t>
            </w:r>
          </w:p>
        </w:tc>
        <w:tc>
          <w:tcPr>
            <w:tcW w:w="6264" w:type="dxa"/>
          </w:tcPr>
          <w:p>
            <w:pPr>
              <w:pStyle w:val="TableParagraph"/>
              <w:spacing w:line="242" w:lineRule="auto" w:before="38"/>
              <w:ind w:right="183"/>
              <w:rPr>
                <w:sz w:val="20"/>
              </w:rPr>
            </w:pPr>
            <w:r>
              <w:rPr>
                <w:sz w:val="20"/>
              </w:rPr>
              <w:t>Where applicable, the CTS personnel track stock returns from initiation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process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its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completion.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It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is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responsibility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of CTS to ensure that the returns and destruction process is </w:t>
            </w:r>
            <w:r>
              <w:rPr>
                <w:spacing w:val="-2"/>
                <w:sz w:val="20"/>
              </w:rPr>
              <w:t>completed.</w:t>
            </w:r>
          </w:p>
          <w:p>
            <w:pPr>
              <w:pStyle w:val="TableParagraph"/>
              <w:spacing w:before="35"/>
              <w:ind w:right="183"/>
              <w:rPr>
                <w:sz w:val="20"/>
              </w:rPr>
            </w:pPr>
            <w:r>
              <w:rPr>
                <w:sz w:val="20"/>
              </w:rPr>
              <w:t>See</w:t>
            </w:r>
            <w:r>
              <w:rPr>
                <w:spacing w:val="40"/>
                <w:sz w:val="20"/>
              </w:rPr>
              <w:t> </w:t>
            </w:r>
            <w:r>
              <w:rPr>
                <w:sz w:val="20"/>
              </w:rPr>
              <w:t>CRO_TP_CTS0011</w:t>
            </w:r>
            <w:r>
              <w:rPr>
                <w:spacing w:val="-9"/>
                <w:sz w:val="20"/>
              </w:rPr>
              <w:t> </w:t>
            </w:r>
            <w:r>
              <w:rPr>
                <w:sz w:val="20"/>
              </w:rPr>
              <w:t>for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Returns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Destruction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tracker </w:t>
            </w:r>
            <w:r>
              <w:rPr>
                <w:spacing w:val="-2"/>
                <w:sz w:val="20"/>
              </w:rPr>
              <w:t>template</w:t>
            </w:r>
          </w:p>
          <w:p>
            <w:pPr>
              <w:pStyle w:val="TableParagraph"/>
              <w:spacing w:before="4"/>
              <w:ind w:left="0"/>
              <w:rPr>
                <w:sz w:val="26"/>
              </w:rPr>
            </w:pPr>
          </w:p>
          <w:p>
            <w:pPr>
              <w:pStyle w:val="TableParagraph"/>
              <w:spacing w:line="242" w:lineRule="auto" w:before="0"/>
              <w:ind w:right="183"/>
              <w:rPr>
                <w:sz w:val="20"/>
              </w:rPr>
            </w:pPr>
            <w:r>
              <w:rPr>
                <w:b/>
                <w:sz w:val="20"/>
              </w:rPr>
              <w:t>Note: </w:t>
            </w:r>
            <w:r>
              <w:rPr>
                <w:sz w:val="20"/>
              </w:rPr>
              <w:t>Liaising closely with CRAs/Clinical Study teams and IRT vendors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is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vital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in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order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ensure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that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destruction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strategy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is fully executed and as planned.</w:t>
            </w:r>
          </w:p>
        </w:tc>
        <w:tc>
          <w:tcPr>
            <w:tcW w:w="1843" w:type="dxa"/>
          </w:tcPr>
          <w:p>
            <w:pPr>
              <w:pStyle w:val="TableParagraph"/>
              <w:spacing w:before="38"/>
              <w:ind w:right="152"/>
              <w:rPr>
                <w:sz w:val="20"/>
              </w:rPr>
            </w:pPr>
            <w:r>
              <w:rPr>
                <w:sz w:val="20"/>
              </w:rPr>
              <w:t>During Study Close</w:t>
            </w:r>
            <w:r>
              <w:rPr>
                <w:spacing w:val="-13"/>
                <w:sz w:val="20"/>
              </w:rPr>
              <w:t> </w:t>
            </w:r>
            <w:r>
              <w:rPr>
                <w:sz w:val="20"/>
              </w:rPr>
              <w:t>Out/</w:t>
            </w:r>
            <w:r>
              <w:rPr>
                <w:spacing w:val="-13"/>
                <w:sz w:val="20"/>
              </w:rPr>
              <w:t> </w:t>
            </w:r>
            <w:r>
              <w:rPr>
                <w:sz w:val="20"/>
              </w:rPr>
              <w:t>End</w:t>
            </w:r>
            <w:r>
              <w:rPr>
                <w:spacing w:val="-13"/>
                <w:sz w:val="20"/>
              </w:rPr>
              <w:t> </w:t>
            </w:r>
            <w:r>
              <w:rPr>
                <w:sz w:val="20"/>
              </w:rPr>
              <w:t>of Study Close Out or When</w:t>
            </w:r>
            <w:r>
              <w:rPr>
                <w:spacing w:val="40"/>
                <w:sz w:val="20"/>
              </w:rPr>
              <w:t> </w:t>
            </w:r>
            <w:r>
              <w:rPr>
                <w:spacing w:val="-2"/>
                <w:sz w:val="20"/>
              </w:rPr>
              <w:t>Required</w:t>
            </w:r>
          </w:p>
        </w:tc>
      </w:tr>
      <w:tr>
        <w:trPr>
          <w:trHeight w:val="772" w:hRule="atLeast"/>
        </w:trPr>
        <w:tc>
          <w:tcPr>
            <w:tcW w:w="797" w:type="dxa"/>
          </w:tcPr>
          <w:p>
            <w:pPr>
              <w:pStyle w:val="TableParagraph"/>
              <w:spacing w:before="47"/>
              <w:ind w:left="172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6.1.6</w:t>
            </w:r>
          </w:p>
        </w:tc>
        <w:tc>
          <w:tcPr>
            <w:tcW w:w="1162" w:type="dxa"/>
          </w:tcPr>
          <w:p>
            <w:pPr>
              <w:pStyle w:val="TableParagraph"/>
              <w:spacing w:before="0"/>
              <w:ind w:left="110"/>
              <w:rPr>
                <w:sz w:val="22"/>
              </w:rPr>
            </w:pPr>
            <w:r>
              <w:rPr>
                <w:spacing w:val="-5"/>
                <w:sz w:val="22"/>
              </w:rPr>
              <w:t>CTS</w:t>
            </w:r>
          </w:p>
          <w:p>
            <w:pPr>
              <w:pStyle w:val="TableParagraph"/>
              <w:spacing w:before="1"/>
              <w:ind w:left="110"/>
              <w:rPr>
                <w:sz w:val="22"/>
              </w:rPr>
            </w:pPr>
            <w:r>
              <w:rPr>
                <w:spacing w:val="-4"/>
                <w:sz w:val="22"/>
              </w:rPr>
              <w:t>Team</w:t>
            </w:r>
          </w:p>
        </w:tc>
        <w:tc>
          <w:tcPr>
            <w:tcW w:w="6264" w:type="dxa"/>
          </w:tcPr>
          <w:p>
            <w:pPr>
              <w:pStyle w:val="TableParagraph"/>
              <w:ind w:right="183"/>
              <w:rPr>
                <w:sz w:val="20"/>
              </w:rPr>
            </w:pPr>
            <w:r>
              <w:rPr>
                <w:sz w:val="20"/>
              </w:rPr>
              <w:t>Where sites are destroying material locally ensure you receive confirmation</w:t>
            </w:r>
            <w:r>
              <w:rPr>
                <w:spacing w:val="-12"/>
                <w:sz w:val="20"/>
              </w:rPr>
              <w:t> </w:t>
            </w:r>
            <w:r>
              <w:rPr>
                <w:sz w:val="20"/>
              </w:rPr>
              <w:t>from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Clinical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that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all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destruction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has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been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completed fully and to ensure that IRT is updated accordingly.</w:t>
            </w:r>
          </w:p>
        </w:tc>
        <w:tc>
          <w:tcPr>
            <w:tcW w:w="1843" w:type="dxa"/>
          </w:tcPr>
          <w:p>
            <w:pPr>
              <w:pStyle w:val="TableParagraph"/>
              <w:ind w:right="217"/>
              <w:rPr>
                <w:sz w:val="20"/>
              </w:rPr>
            </w:pPr>
            <w:r>
              <w:rPr>
                <w:sz w:val="20"/>
              </w:rPr>
              <w:t>Upon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completion of Destruction</w:t>
            </w:r>
          </w:p>
        </w:tc>
      </w:tr>
    </w:tbl>
    <w:p>
      <w:pPr>
        <w:pStyle w:val="BodyText"/>
        <w:spacing w:before="5"/>
        <w:rPr>
          <w:sz w:val="12"/>
        </w:rPr>
      </w:pPr>
    </w:p>
    <w:p>
      <w:pPr>
        <w:pStyle w:val="ListParagraph"/>
        <w:numPr>
          <w:ilvl w:val="1"/>
          <w:numId w:val="1"/>
        </w:numPr>
        <w:tabs>
          <w:tab w:pos="1979" w:val="left" w:leader="none"/>
          <w:tab w:pos="1980" w:val="left" w:leader="none"/>
        </w:tabs>
        <w:spacing w:line="240" w:lineRule="auto" w:before="94" w:after="0"/>
        <w:ind w:left="1980" w:right="0" w:hanging="720"/>
        <w:jc w:val="left"/>
        <w:rPr>
          <w:b/>
          <w:sz w:val="22"/>
        </w:rPr>
      </w:pPr>
      <w:r>
        <w:rPr>
          <w:b/>
          <w:sz w:val="22"/>
        </w:rPr>
        <w:t>Inventory</w:t>
      </w:r>
      <w:r>
        <w:rPr>
          <w:b/>
          <w:spacing w:val="-7"/>
          <w:sz w:val="22"/>
        </w:rPr>
        <w:t> </w:t>
      </w:r>
      <w:r>
        <w:rPr>
          <w:b/>
          <w:sz w:val="22"/>
        </w:rPr>
        <w:t>Destruction</w:t>
      </w:r>
      <w:r>
        <w:rPr>
          <w:b/>
          <w:spacing w:val="-6"/>
          <w:sz w:val="22"/>
        </w:rPr>
        <w:t> </w:t>
      </w:r>
      <w:r>
        <w:rPr>
          <w:b/>
          <w:sz w:val="22"/>
        </w:rPr>
        <w:t>at</w:t>
      </w:r>
      <w:r>
        <w:rPr>
          <w:b/>
          <w:spacing w:val="-6"/>
          <w:sz w:val="22"/>
        </w:rPr>
        <w:t> </w:t>
      </w:r>
      <w:r>
        <w:rPr>
          <w:b/>
          <w:sz w:val="22"/>
        </w:rPr>
        <w:t>Vendor</w:t>
      </w:r>
      <w:r>
        <w:rPr>
          <w:b/>
          <w:spacing w:val="-6"/>
          <w:sz w:val="22"/>
        </w:rPr>
        <w:t> </w:t>
      </w:r>
      <w:r>
        <w:rPr>
          <w:b/>
          <w:spacing w:val="-2"/>
          <w:sz w:val="22"/>
        </w:rPr>
        <w:t>Depots</w:t>
      </w:r>
    </w:p>
    <w:p>
      <w:pPr>
        <w:pStyle w:val="BodyText"/>
        <w:spacing w:before="11"/>
        <w:rPr>
          <w:b/>
          <w:sz w:val="10"/>
        </w:rPr>
      </w:pPr>
    </w:p>
    <w:tbl>
      <w:tblPr>
        <w:tblW w:w="0" w:type="auto"/>
        <w:jc w:val="left"/>
        <w:tblInd w:w="19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797"/>
        <w:gridCol w:w="1162"/>
        <w:gridCol w:w="6264"/>
        <w:gridCol w:w="1843"/>
      </w:tblGrid>
      <w:tr>
        <w:trPr>
          <w:trHeight w:val="306" w:hRule="atLeast"/>
        </w:trPr>
        <w:tc>
          <w:tcPr>
            <w:tcW w:w="797" w:type="dxa"/>
            <w:shd w:val="clear" w:color="auto" w:fill="D9D9D9"/>
          </w:tcPr>
          <w:p>
            <w:pPr>
              <w:pStyle w:val="TableParagraph"/>
              <w:spacing w:before="38"/>
              <w:ind w:left="105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No:</w:t>
            </w:r>
          </w:p>
        </w:tc>
        <w:tc>
          <w:tcPr>
            <w:tcW w:w="1162" w:type="dxa"/>
            <w:shd w:val="clear" w:color="auto" w:fill="D9D9D9"/>
          </w:tcPr>
          <w:p>
            <w:pPr>
              <w:pStyle w:val="TableParagraph"/>
              <w:spacing w:before="38"/>
              <w:ind w:left="105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Who:</w:t>
            </w:r>
          </w:p>
        </w:tc>
        <w:tc>
          <w:tcPr>
            <w:tcW w:w="6264" w:type="dxa"/>
            <w:shd w:val="clear" w:color="auto" w:fill="D9D9D9"/>
          </w:tcPr>
          <w:p>
            <w:pPr>
              <w:pStyle w:val="TableParagraph"/>
              <w:spacing w:before="38"/>
              <w:ind w:left="104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Step:</w:t>
            </w:r>
          </w:p>
        </w:tc>
        <w:tc>
          <w:tcPr>
            <w:tcW w:w="1843" w:type="dxa"/>
            <w:shd w:val="clear" w:color="auto" w:fill="D9D9D9"/>
          </w:tcPr>
          <w:p>
            <w:pPr>
              <w:pStyle w:val="TableParagraph"/>
              <w:spacing w:before="38"/>
              <w:ind w:left="104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When:</w:t>
            </w:r>
          </w:p>
        </w:tc>
      </w:tr>
      <w:tr>
        <w:trPr>
          <w:trHeight w:val="1233" w:hRule="atLeast"/>
        </w:trPr>
        <w:tc>
          <w:tcPr>
            <w:tcW w:w="797" w:type="dxa"/>
          </w:tcPr>
          <w:p>
            <w:pPr>
              <w:pStyle w:val="TableParagraph"/>
              <w:ind w:left="0" w:right="164"/>
              <w:jc w:val="right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6.2.1</w:t>
            </w:r>
          </w:p>
        </w:tc>
        <w:tc>
          <w:tcPr>
            <w:tcW w:w="1162" w:type="dxa"/>
          </w:tcPr>
          <w:p>
            <w:pPr>
              <w:pStyle w:val="TableParagraph"/>
              <w:spacing w:before="38"/>
              <w:ind w:left="105"/>
              <w:rPr>
                <w:sz w:val="22"/>
              </w:rPr>
            </w:pPr>
            <w:r>
              <w:rPr>
                <w:spacing w:val="-5"/>
                <w:sz w:val="22"/>
              </w:rPr>
              <w:t>CTS</w:t>
            </w:r>
          </w:p>
          <w:p>
            <w:pPr>
              <w:pStyle w:val="TableParagraph"/>
              <w:spacing w:before="6"/>
              <w:ind w:left="105"/>
              <w:rPr>
                <w:sz w:val="22"/>
              </w:rPr>
            </w:pPr>
            <w:r>
              <w:rPr>
                <w:spacing w:val="-4"/>
                <w:sz w:val="22"/>
              </w:rPr>
              <w:t>Team</w:t>
            </w:r>
          </w:p>
        </w:tc>
        <w:tc>
          <w:tcPr>
            <w:tcW w:w="6264" w:type="dxa"/>
          </w:tcPr>
          <w:p>
            <w:pPr>
              <w:pStyle w:val="TableParagraph"/>
              <w:spacing w:before="38"/>
              <w:ind w:left="104" w:right="183"/>
              <w:rPr>
                <w:sz w:val="20"/>
              </w:rPr>
            </w:pPr>
            <w:r>
              <w:rPr>
                <w:sz w:val="20"/>
              </w:rPr>
              <w:t>Liaise with the distribution vendor in order to facilitate the destruction process and to provide support with any IRT related issues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required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(see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Distribution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Setup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&amp;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Product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Disposition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at Vendor Facility CRO_OP_CTS0003 for approval of product disposition process steps)</w:t>
            </w:r>
          </w:p>
        </w:tc>
        <w:tc>
          <w:tcPr>
            <w:tcW w:w="1843" w:type="dxa"/>
          </w:tcPr>
          <w:p>
            <w:pPr>
              <w:pStyle w:val="TableParagraph"/>
              <w:spacing w:line="242" w:lineRule="auto" w:before="38"/>
              <w:ind w:left="104" w:right="97"/>
              <w:rPr>
                <w:sz w:val="20"/>
              </w:rPr>
            </w:pPr>
            <w:r>
              <w:rPr>
                <w:sz w:val="20"/>
              </w:rPr>
              <w:t>During Study Close Out/ End of Study Close Out or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When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Required</w:t>
            </w:r>
          </w:p>
        </w:tc>
      </w:tr>
      <w:tr>
        <w:trPr>
          <w:trHeight w:val="1036" w:hRule="atLeast"/>
        </w:trPr>
        <w:tc>
          <w:tcPr>
            <w:tcW w:w="797" w:type="dxa"/>
          </w:tcPr>
          <w:p>
            <w:pPr>
              <w:pStyle w:val="TableParagraph"/>
              <w:ind w:left="0" w:right="164"/>
              <w:jc w:val="right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6.2.2</w:t>
            </w:r>
          </w:p>
        </w:tc>
        <w:tc>
          <w:tcPr>
            <w:tcW w:w="1162" w:type="dxa"/>
          </w:tcPr>
          <w:p>
            <w:pPr>
              <w:pStyle w:val="TableParagraph"/>
              <w:spacing w:before="38"/>
              <w:ind w:left="105"/>
              <w:rPr>
                <w:sz w:val="22"/>
              </w:rPr>
            </w:pPr>
            <w:r>
              <w:rPr>
                <w:spacing w:val="-5"/>
                <w:sz w:val="22"/>
              </w:rPr>
              <w:t>CTS</w:t>
            </w:r>
          </w:p>
          <w:p>
            <w:pPr>
              <w:pStyle w:val="TableParagraph"/>
              <w:spacing w:before="1"/>
              <w:ind w:left="105"/>
              <w:rPr>
                <w:sz w:val="22"/>
              </w:rPr>
            </w:pPr>
            <w:r>
              <w:rPr>
                <w:spacing w:val="-4"/>
                <w:sz w:val="22"/>
              </w:rPr>
              <w:t>Team</w:t>
            </w:r>
          </w:p>
        </w:tc>
        <w:tc>
          <w:tcPr>
            <w:tcW w:w="6264" w:type="dxa"/>
          </w:tcPr>
          <w:p>
            <w:pPr>
              <w:pStyle w:val="TableParagraph"/>
              <w:spacing w:before="38"/>
              <w:ind w:left="104" w:right="183"/>
              <w:rPr>
                <w:sz w:val="20"/>
              </w:rPr>
            </w:pPr>
            <w:r>
              <w:rPr>
                <w:sz w:val="20"/>
              </w:rPr>
              <w:t>Resolve any discrepancies with returned stock and documentation at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depot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by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being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link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between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clinical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team,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distribution vendor and IRT vendor.</w:t>
            </w:r>
          </w:p>
        </w:tc>
        <w:tc>
          <w:tcPr>
            <w:tcW w:w="1843" w:type="dxa"/>
          </w:tcPr>
          <w:p>
            <w:pPr>
              <w:pStyle w:val="TableParagraph"/>
              <w:spacing w:before="38"/>
              <w:ind w:left="104" w:right="97"/>
              <w:rPr>
                <w:sz w:val="20"/>
              </w:rPr>
            </w:pPr>
            <w:r>
              <w:rPr>
                <w:sz w:val="20"/>
              </w:rPr>
              <w:t>During Study Close Out/ End of Study Close Out or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When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Required</w:t>
            </w:r>
          </w:p>
        </w:tc>
      </w:tr>
      <w:tr>
        <w:trPr>
          <w:trHeight w:val="810" w:hRule="atLeast"/>
        </w:trPr>
        <w:tc>
          <w:tcPr>
            <w:tcW w:w="797" w:type="dxa"/>
          </w:tcPr>
          <w:p>
            <w:pPr>
              <w:pStyle w:val="TableParagraph"/>
              <w:spacing w:before="47"/>
              <w:ind w:left="0" w:right="164"/>
              <w:jc w:val="right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6.2.3</w:t>
            </w:r>
          </w:p>
        </w:tc>
        <w:tc>
          <w:tcPr>
            <w:tcW w:w="1162" w:type="dxa"/>
          </w:tcPr>
          <w:p>
            <w:pPr>
              <w:pStyle w:val="TableParagraph"/>
              <w:spacing w:before="43"/>
              <w:ind w:left="105"/>
              <w:rPr>
                <w:sz w:val="22"/>
              </w:rPr>
            </w:pPr>
            <w:r>
              <w:rPr>
                <w:spacing w:val="-5"/>
                <w:sz w:val="22"/>
              </w:rPr>
              <w:t>CTS</w:t>
            </w:r>
          </w:p>
          <w:p>
            <w:pPr>
              <w:pStyle w:val="TableParagraph"/>
              <w:spacing w:before="1"/>
              <w:ind w:left="105"/>
              <w:rPr>
                <w:sz w:val="22"/>
              </w:rPr>
            </w:pPr>
            <w:r>
              <w:rPr>
                <w:spacing w:val="-4"/>
                <w:sz w:val="22"/>
              </w:rPr>
              <w:t>Team</w:t>
            </w:r>
          </w:p>
        </w:tc>
        <w:tc>
          <w:tcPr>
            <w:tcW w:w="6264" w:type="dxa"/>
          </w:tcPr>
          <w:p>
            <w:pPr>
              <w:pStyle w:val="TableParagraph"/>
              <w:ind w:left="104"/>
              <w:rPr>
                <w:sz w:val="20"/>
              </w:rPr>
            </w:pPr>
            <w:r>
              <w:rPr>
                <w:sz w:val="20"/>
              </w:rPr>
              <w:t>Where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appropriate,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ensure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that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distribution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vendor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confirms returns in the IRT system.</w:t>
            </w:r>
          </w:p>
        </w:tc>
        <w:tc>
          <w:tcPr>
            <w:tcW w:w="1843" w:type="dxa"/>
          </w:tcPr>
          <w:p>
            <w:pPr>
              <w:pStyle w:val="TableParagraph"/>
              <w:ind w:left="104" w:right="222"/>
              <w:rPr>
                <w:sz w:val="20"/>
              </w:rPr>
            </w:pPr>
            <w:r>
              <w:rPr>
                <w:sz w:val="20"/>
              </w:rPr>
              <w:t>Upon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completion of Destruction</w:t>
            </w:r>
          </w:p>
        </w:tc>
      </w:tr>
    </w:tbl>
    <w:p>
      <w:pPr>
        <w:spacing w:after="0"/>
        <w:rPr>
          <w:sz w:val="20"/>
        </w:rPr>
        <w:sectPr>
          <w:pgSz w:w="12240" w:h="15840"/>
          <w:pgMar w:header="979" w:footer="952" w:top="2760" w:bottom="1140" w:left="900" w:right="960"/>
        </w:sectPr>
      </w:pPr>
    </w:p>
    <w:p>
      <w:pPr>
        <w:pStyle w:val="BodyText"/>
        <w:spacing w:before="1"/>
        <w:rPr>
          <w:b/>
        </w:rPr>
      </w:pPr>
    </w:p>
    <w:tbl>
      <w:tblPr>
        <w:tblW w:w="0" w:type="auto"/>
        <w:jc w:val="left"/>
        <w:tblInd w:w="19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797"/>
        <w:gridCol w:w="1162"/>
        <w:gridCol w:w="6264"/>
        <w:gridCol w:w="1843"/>
      </w:tblGrid>
      <w:tr>
        <w:trPr>
          <w:trHeight w:val="311" w:hRule="atLeast"/>
        </w:trPr>
        <w:tc>
          <w:tcPr>
            <w:tcW w:w="797" w:type="dxa"/>
            <w:shd w:val="clear" w:color="auto" w:fill="D9D9D9"/>
          </w:tcPr>
          <w:p>
            <w:pPr>
              <w:pStyle w:val="TableParagraph"/>
              <w:ind w:left="105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No:</w:t>
            </w:r>
          </w:p>
        </w:tc>
        <w:tc>
          <w:tcPr>
            <w:tcW w:w="1162" w:type="dxa"/>
            <w:shd w:val="clear" w:color="auto" w:fill="D9D9D9"/>
          </w:tcPr>
          <w:p>
            <w:pPr>
              <w:pStyle w:val="TableParagraph"/>
              <w:ind w:left="105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Who:</w:t>
            </w:r>
          </w:p>
        </w:tc>
        <w:tc>
          <w:tcPr>
            <w:tcW w:w="6264" w:type="dxa"/>
            <w:shd w:val="clear" w:color="auto" w:fill="D9D9D9"/>
          </w:tcPr>
          <w:p>
            <w:pPr>
              <w:pStyle w:val="TableParagraph"/>
              <w:ind w:left="104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Step:</w:t>
            </w:r>
          </w:p>
        </w:tc>
        <w:tc>
          <w:tcPr>
            <w:tcW w:w="1843" w:type="dxa"/>
            <w:shd w:val="clear" w:color="auto" w:fill="D9D9D9"/>
          </w:tcPr>
          <w:p>
            <w:pPr>
              <w:pStyle w:val="TableParagraph"/>
              <w:ind w:left="104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When:</w:t>
            </w:r>
          </w:p>
        </w:tc>
      </w:tr>
      <w:tr>
        <w:trPr>
          <w:trHeight w:val="1041" w:hRule="atLeast"/>
        </w:trPr>
        <w:tc>
          <w:tcPr>
            <w:tcW w:w="797" w:type="dxa"/>
          </w:tcPr>
          <w:p>
            <w:pPr>
              <w:pStyle w:val="TableParagraph"/>
              <w:ind w:left="0" w:right="164"/>
              <w:jc w:val="right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6.2.4</w:t>
            </w:r>
          </w:p>
        </w:tc>
        <w:tc>
          <w:tcPr>
            <w:tcW w:w="1162" w:type="dxa"/>
          </w:tcPr>
          <w:p>
            <w:pPr>
              <w:pStyle w:val="TableParagraph"/>
              <w:spacing w:before="38"/>
              <w:ind w:left="105"/>
              <w:rPr>
                <w:sz w:val="22"/>
              </w:rPr>
            </w:pPr>
            <w:r>
              <w:rPr>
                <w:spacing w:val="-5"/>
                <w:sz w:val="22"/>
              </w:rPr>
              <w:t>CTS</w:t>
            </w:r>
          </w:p>
          <w:p>
            <w:pPr>
              <w:pStyle w:val="TableParagraph"/>
              <w:spacing w:before="1"/>
              <w:ind w:left="105"/>
              <w:rPr>
                <w:sz w:val="22"/>
              </w:rPr>
            </w:pPr>
            <w:r>
              <w:rPr>
                <w:spacing w:val="-4"/>
                <w:sz w:val="22"/>
              </w:rPr>
              <w:t>Team</w:t>
            </w:r>
          </w:p>
        </w:tc>
        <w:tc>
          <w:tcPr>
            <w:tcW w:w="6264" w:type="dxa"/>
          </w:tcPr>
          <w:p>
            <w:pPr>
              <w:pStyle w:val="TableParagraph"/>
              <w:spacing w:before="38"/>
              <w:ind w:left="104" w:right="183"/>
              <w:rPr>
                <w:sz w:val="20"/>
              </w:rPr>
            </w:pPr>
            <w:r>
              <w:rPr>
                <w:sz w:val="20"/>
              </w:rPr>
              <w:t>Once destruction has been carried out, obtain a Certificate of Destruction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(CoD)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from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distribution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vendor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upload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into </w:t>
            </w:r>
            <w:r>
              <w:rPr>
                <w:spacing w:val="-2"/>
                <w:sz w:val="20"/>
              </w:rPr>
              <w:t>eTMF.</w:t>
            </w:r>
          </w:p>
        </w:tc>
        <w:tc>
          <w:tcPr>
            <w:tcW w:w="1843" w:type="dxa"/>
          </w:tcPr>
          <w:p>
            <w:pPr>
              <w:pStyle w:val="TableParagraph"/>
              <w:spacing w:before="38"/>
              <w:ind w:left="104" w:right="222"/>
              <w:rPr>
                <w:sz w:val="20"/>
              </w:rPr>
            </w:pPr>
            <w:r>
              <w:rPr>
                <w:sz w:val="20"/>
              </w:rPr>
              <w:t>Upon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completion of Destruction</w:t>
            </w:r>
          </w:p>
        </w:tc>
      </w:tr>
      <w:tr>
        <w:trPr>
          <w:trHeight w:val="810" w:hRule="atLeast"/>
        </w:trPr>
        <w:tc>
          <w:tcPr>
            <w:tcW w:w="797" w:type="dxa"/>
          </w:tcPr>
          <w:p>
            <w:pPr>
              <w:pStyle w:val="TableParagraph"/>
              <w:ind w:left="0" w:right="164"/>
              <w:jc w:val="right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6.2.5</w:t>
            </w:r>
          </w:p>
        </w:tc>
        <w:tc>
          <w:tcPr>
            <w:tcW w:w="1162" w:type="dxa"/>
          </w:tcPr>
          <w:p>
            <w:pPr>
              <w:pStyle w:val="TableParagraph"/>
              <w:spacing w:before="38"/>
              <w:ind w:left="105"/>
              <w:rPr>
                <w:sz w:val="22"/>
              </w:rPr>
            </w:pPr>
            <w:r>
              <w:rPr>
                <w:spacing w:val="-5"/>
                <w:sz w:val="22"/>
              </w:rPr>
              <w:t>CTS</w:t>
            </w:r>
          </w:p>
          <w:p>
            <w:pPr>
              <w:pStyle w:val="TableParagraph"/>
              <w:spacing w:before="1"/>
              <w:ind w:left="105"/>
              <w:rPr>
                <w:sz w:val="22"/>
              </w:rPr>
            </w:pPr>
            <w:r>
              <w:rPr>
                <w:spacing w:val="-4"/>
                <w:sz w:val="22"/>
              </w:rPr>
              <w:t>Team</w:t>
            </w:r>
          </w:p>
        </w:tc>
        <w:tc>
          <w:tcPr>
            <w:tcW w:w="6264" w:type="dxa"/>
          </w:tcPr>
          <w:p>
            <w:pPr>
              <w:pStyle w:val="TableParagraph"/>
              <w:spacing w:before="38"/>
              <w:ind w:left="104" w:right="183"/>
              <w:rPr>
                <w:sz w:val="20"/>
              </w:rPr>
            </w:pPr>
            <w:r>
              <w:rPr>
                <w:sz w:val="20"/>
              </w:rPr>
              <w:t>Where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appropriate,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ensure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that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distribution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vendor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confirms stock destruction in the IRT system.</w:t>
            </w:r>
          </w:p>
        </w:tc>
        <w:tc>
          <w:tcPr>
            <w:tcW w:w="1843" w:type="dxa"/>
          </w:tcPr>
          <w:p>
            <w:pPr>
              <w:pStyle w:val="TableParagraph"/>
              <w:spacing w:before="38"/>
              <w:ind w:left="104" w:right="222"/>
              <w:rPr>
                <w:sz w:val="20"/>
              </w:rPr>
            </w:pPr>
            <w:r>
              <w:rPr>
                <w:sz w:val="20"/>
              </w:rPr>
              <w:t>Upon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completion of Destruction</w:t>
            </w:r>
          </w:p>
        </w:tc>
      </w:tr>
    </w:tbl>
    <w:p>
      <w:pPr>
        <w:pStyle w:val="BodyText"/>
        <w:spacing w:before="4"/>
        <w:rPr>
          <w:b/>
          <w:sz w:val="12"/>
        </w:rPr>
      </w:pPr>
    </w:p>
    <w:p>
      <w:pPr>
        <w:pStyle w:val="ListParagraph"/>
        <w:numPr>
          <w:ilvl w:val="1"/>
          <w:numId w:val="1"/>
        </w:numPr>
        <w:tabs>
          <w:tab w:pos="1979" w:val="left" w:leader="none"/>
          <w:tab w:pos="1980" w:val="left" w:leader="none"/>
        </w:tabs>
        <w:spacing w:line="240" w:lineRule="auto" w:before="94" w:after="0"/>
        <w:ind w:left="1980" w:right="0" w:hanging="720"/>
        <w:jc w:val="left"/>
        <w:rPr>
          <w:b/>
          <w:sz w:val="22"/>
        </w:rPr>
      </w:pPr>
      <w:r>
        <w:rPr>
          <w:b/>
          <w:spacing w:val="-2"/>
          <w:sz w:val="22"/>
        </w:rPr>
        <w:t>Archiving</w:t>
      </w:r>
    </w:p>
    <w:p>
      <w:pPr>
        <w:pStyle w:val="BodyText"/>
        <w:spacing w:before="6" w:after="1"/>
        <w:rPr>
          <w:b/>
          <w:sz w:val="10"/>
        </w:rPr>
      </w:pPr>
    </w:p>
    <w:tbl>
      <w:tblPr>
        <w:tblW w:w="0" w:type="auto"/>
        <w:jc w:val="left"/>
        <w:tblInd w:w="11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797"/>
        <w:gridCol w:w="1162"/>
        <w:gridCol w:w="6264"/>
        <w:gridCol w:w="1843"/>
      </w:tblGrid>
      <w:tr>
        <w:trPr>
          <w:trHeight w:val="311" w:hRule="atLeast"/>
        </w:trPr>
        <w:tc>
          <w:tcPr>
            <w:tcW w:w="797" w:type="dxa"/>
            <w:shd w:val="clear" w:color="auto" w:fill="D9D9D9"/>
          </w:tcPr>
          <w:p>
            <w:pPr>
              <w:pStyle w:val="TableParagraph"/>
              <w:ind w:left="110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No:</w:t>
            </w:r>
          </w:p>
        </w:tc>
        <w:tc>
          <w:tcPr>
            <w:tcW w:w="1162" w:type="dxa"/>
            <w:shd w:val="clear" w:color="auto" w:fill="D9D9D9"/>
          </w:tcPr>
          <w:p>
            <w:pPr>
              <w:pStyle w:val="TableParagraph"/>
              <w:ind w:left="110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Who:</w:t>
            </w:r>
          </w:p>
        </w:tc>
        <w:tc>
          <w:tcPr>
            <w:tcW w:w="6264" w:type="dxa"/>
            <w:shd w:val="clear" w:color="auto" w:fill="D9D9D9"/>
          </w:tcPr>
          <w:p>
            <w:pPr>
              <w:pStyle w:val="TableParagraph"/>
              <w:ind w:left="104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Step:</w:t>
            </w:r>
          </w:p>
        </w:tc>
        <w:tc>
          <w:tcPr>
            <w:tcW w:w="1843" w:type="dxa"/>
            <w:shd w:val="clear" w:color="auto" w:fill="D9D9D9"/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When:</w:t>
            </w:r>
          </w:p>
        </w:tc>
      </w:tr>
      <w:tr>
        <w:trPr>
          <w:trHeight w:val="1502" w:hRule="atLeast"/>
        </w:trPr>
        <w:tc>
          <w:tcPr>
            <w:tcW w:w="797" w:type="dxa"/>
          </w:tcPr>
          <w:p>
            <w:pPr>
              <w:pStyle w:val="TableParagraph"/>
              <w:ind w:left="11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6.3.1</w:t>
            </w:r>
          </w:p>
        </w:tc>
        <w:tc>
          <w:tcPr>
            <w:tcW w:w="1162" w:type="dxa"/>
          </w:tcPr>
          <w:p>
            <w:pPr>
              <w:pStyle w:val="TableParagraph"/>
              <w:spacing w:before="38"/>
              <w:ind w:left="110"/>
              <w:rPr>
                <w:sz w:val="22"/>
              </w:rPr>
            </w:pPr>
            <w:r>
              <w:rPr>
                <w:spacing w:val="-5"/>
                <w:sz w:val="22"/>
              </w:rPr>
              <w:t>CTS</w:t>
            </w:r>
          </w:p>
          <w:p>
            <w:pPr>
              <w:pStyle w:val="TableParagraph"/>
              <w:spacing w:before="1"/>
              <w:ind w:left="110"/>
              <w:rPr>
                <w:sz w:val="22"/>
              </w:rPr>
            </w:pPr>
            <w:r>
              <w:rPr>
                <w:spacing w:val="-4"/>
                <w:sz w:val="22"/>
              </w:rPr>
              <w:t>Team</w:t>
            </w:r>
          </w:p>
        </w:tc>
        <w:tc>
          <w:tcPr>
            <w:tcW w:w="6264" w:type="dxa"/>
          </w:tcPr>
          <w:p>
            <w:pPr>
              <w:pStyle w:val="TableParagraph"/>
              <w:spacing w:before="38"/>
              <w:ind w:left="104" w:right="55"/>
              <w:rPr>
                <w:sz w:val="20"/>
              </w:rPr>
            </w:pPr>
            <w:r>
              <w:rPr>
                <w:sz w:val="20"/>
              </w:rPr>
              <w:t>Ensures all documentation collected through the lifecycle of any given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study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are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uploaded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into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relevant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IQVIA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e-TMF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platform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as they become available.</w:t>
            </w:r>
          </w:p>
          <w:p>
            <w:pPr>
              <w:pStyle w:val="TableParagraph"/>
              <w:spacing w:before="44"/>
              <w:ind w:left="104"/>
              <w:rPr>
                <w:sz w:val="20"/>
              </w:rPr>
            </w:pPr>
            <w:r>
              <w:rPr>
                <w:sz w:val="20"/>
              </w:rPr>
              <w:t>Including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but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not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limited</w:t>
            </w:r>
            <w:r>
              <w:rPr>
                <w:spacing w:val="-5"/>
                <w:sz w:val="20"/>
              </w:rPr>
              <w:t> to:</w:t>
            </w:r>
          </w:p>
          <w:p>
            <w:pPr>
              <w:pStyle w:val="TableParagraph"/>
              <w:spacing w:before="39"/>
              <w:ind w:left="104"/>
              <w:rPr>
                <w:sz w:val="20"/>
              </w:rPr>
            </w:pPr>
            <w:r>
              <w:rPr>
                <w:sz w:val="20"/>
              </w:rPr>
              <w:t>TE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excursion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tracker,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manual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or</w:t>
            </w:r>
            <w:r>
              <w:rPr>
                <w:spacing w:val="-6"/>
                <w:sz w:val="20"/>
              </w:rPr>
              <w:t> </w:t>
            </w:r>
            <w:r>
              <w:rPr>
                <w:spacing w:val="-2"/>
                <w:sz w:val="20"/>
              </w:rPr>
              <w:t>Berlinger</w:t>
            </w:r>
          </w:p>
        </w:tc>
        <w:tc>
          <w:tcPr>
            <w:tcW w:w="1843" w:type="dxa"/>
          </w:tcPr>
          <w:p>
            <w:pPr>
              <w:pStyle w:val="TableParagraph"/>
              <w:spacing w:before="38"/>
              <w:ind w:right="361"/>
              <w:rPr>
                <w:sz w:val="20"/>
              </w:rPr>
            </w:pPr>
            <w:r>
              <w:rPr>
                <w:sz w:val="20"/>
              </w:rPr>
              <w:t>Throughout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the lifecycle of the </w:t>
            </w:r>
            <w:r>
              <w:rPr>
                <w:spacing w:val="-2"/>
                <w:sz w:val="20"/>
              </w:rPr>
              <w:t>study</w:t>
            </w:r>
          </w:p>
          <w:p>
            <w:pPr>
              <w:pStyle w:val="TableParagraph"/>
              <w:spacing w:line="237" w:lineRule="auto" w:before="46"/>
              <w:ind w:right="97"/>
              <w:rPr>
                <w:sz w:val="20"/>
              </w:rPr>
            </w:pPr>
            <w:r>
              <w:rPr>
                <w:sz w:val="20"/>
              </w:rPr>
              <w:t>During Study Close</w:t>
            </w:r>
            <w:r>
              <w:rPr>
                <w:spacing w:val="-13"/>
                <w:sz w:val="20"/>
              </w:rPr>
              <w:t> </w:t>
            </w:r>
            <w:r>
              <w:rPr>
                <w:sz w:val="20"/>
              </w:rPr>
              <w:t>Out/</w:t>
            </w:r>
            <w:r>
              <w:rPr>
                <w:spacing w:val="-13"/>
                <w:sz w:val="20"/>
              </w:rPr>
              <w:t> </w:t>
            </w:r>
            <w:r>
              <w:rPr>
                <w:sz w:val="20"/>
              </w:rPr>
              <w:t>End</w:t>
            </w:r>
            <w:r>
              <w:rPr>
                <w:spacing w:val="-13"/>
                <w:sz w:val="20"/>
              </w:rPr>
              <w:t> </w:t>
            </w:r>
            <w:r>
              <w:rPr>
                <w:sz w:val="20"/>
              </w:rPr>
              <w:t>of Study Close Out</w:t>
            </w:r>
          </w:p>
        </w:tc>
      </w:tr>
      <w:tr>
        <w:trPr>
          <w:trHeight w:val="1540" w:hRule="atLeast"/>
        </w:trPr>
        <w:tc>
          <w:tcPr>
            <w:tcW w:w="797" w:type="dxa"/>
          </w:tcPr>
          <w:p>
            <w:pPr>
              <w:pStyle w:val="TableParagraph"/>
              <w:ind w:left="11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6.3.2</w:t>
            </w:r>
          </w:p>
        </w:tc>
        <w:tc>
          <w:tcPr>
            <w:tcW w:w="1162" w:type="dxa"/>
          </w:tcPr>
          <w:p>
            <w:pPr>
              <w:pStyle w:val="TableParagraph"/>
              <w:spacing w:before="38"/>
              <w:ind w:left="110"/>
              <w:rPr>
                <w:sz w:val="22"/>
              </w:rPr>
            </w:pPr>
            <w:r>
              <w:rPr>
                <w:spacing w:val="-5"/>
                <w:sz w:val="22"/>
              </w:rPr>
              <w:t>CTS</w:t>
            </w:r>
          </w:p>
          <w:p>
            <w:pPr>
              <w:pStyle w:val="TableParagraph"/>
              <w:spacing w:before="1"/>
              <w:ind w:left="110"/>
              <w:rPr>
                <w:sz w:val="22"/>
              </w:rPr>
            </w:pPr>
            <w:r>
              <w:rPr>
                <w:spacing w:val="-4"/>
                <w:sz w:val="22"/>
              </w:rPr>
              <w:t>Team</w:t>
            </w:r>
          </w:p>
        </w:tc>
        <w:tc>
          <w:tcPr>
            <w:tcW w:w="6264" w:type="dxa"/>
          </w:tcPr>
          <w:p>
            <w:pPr>
              <w:pStyle w:val="TableParagraph"/>
              <w:spacing w:before="38"/>
              <w:ind w:left="104" w:right="183"/>
              <w:rPr>
                <w:sz w:val="20"/>
              </w:rPr>
            </w:pPr>
            <w:r>
              <w:rPr>
                <w:sz w:val="20"/>
              </w:rPr>
              <w:t>Reference Distribution Setup &amp; Product Disposition SOP CRO_OP_CTS0003 for information on requesting disposition reports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from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distribution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vendor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for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all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clinical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materials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in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order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to review and process for destruction.</w:t>
            </w:r>
          </w:p>
          <w:p>
            <w:pPr>
              <w:pStyle w:val="TableParagraph"/>
              <w:spacing w:before="4"/>
              <w:ind w:left="0"/>
              <w:rPr>
                <w:b/>
                <w:sz w:val="26"/>
              </w:rPr>
            </w:pPr>
          </w:p>
          <w:p>
            <w:pPr>
              <w:pStyle w:val="TableParagraph"/>
              <w:spacing w:before="1"/>
              <w:ind w:left="104"/>
              <w:rPr>
                <w:sz w:val="20"/>
              </w:rPr>
            </w:pPr>
            <w:r>
              <w:rPr>
                <w:b/>
                <w:sz w:val="20"/>
              </w:rPr>
              <w:t>Note:</w:t>
            </w:r>
            <w:r>
              <w:rPr>
                <w:b/>
                <w:spacing w:val="-9"/>
                <w:sz w:val="20"/>
              </w:rPr>
              <w:t> </w:t>
            </w:r>
            <w:r>
              <w:rPr>
                <w:sz w:val="20"/>
              </w:rPr>
              <w:t>File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all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approved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disposition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reports</w:t>
            </w:r>
            <w:r>
              <w:rPr>
                <w:spacing w:val="-11"/>
                <w:sz w:val="20"/>
              </w:rPr>
              <w:t> </w:t>
            </w:r>
            <w:r>
              <w:rPr>
                <w:sz w:val="20"/>
              </w:rPr>
              <w:t>in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e-</w:t>
            </w:r>
            <w:r>
              <w:rPr>
                <w:spacing w:val="-5"/>
                <w:sz w:val="20"/>
              </w:rPr>
              <w:t>TMF</w:t>
            </w:r>
          </w:p>
        </w:tc>
        <w:tc>
          <w:tcPr>
            <w:tcW w:w="1843" w:type="dxa"/>
          </w:tcPr>
          <w:p>
            <w:pPr>
              <w:pStyle w:val="TableParagraph"/>
              <w:spacing w:before="38"/>
              <w:ind w:right="97"/>
              <w:rPr>
                <w:sz w:val="20"/>
              </w:rPr>
            </w:pPr>
            <w:r>
              <w:rPr>
                <w:sz w:val="20"/>
              </w:rPr>
              <w:t>During Study Close</w:t>
            </w:r>
            <w:r>
              <w:rPr>
                <w:spacing w:val="-13"/>
                <w:sz w:val="20"/>
              </w:rPr>
              <w:t> </w:t>
            </w:r>
            <w:r>
              <w:rPr>
                <w:sz w:val="20"/>
              </w:rPr>
              <w:t>Out/</w:t>
            </w:r>
            <w:r>
              <w:rPr>
                <w:spacing w:val="-13"/>
                <w:sz w:val="20"/>
              </w:rPr>
              <w:t> </w:t>
            </w:r>
            <w:r>
              <w:rPr>
                <w:sz w:val="20"/>
              </w:rPr>
              <w:t>End</w:t>
            </w:r>
            <w:r>
              <w:rPr>
                <w:spacing w:val="-13"/>
                <w:sz w:val="20"/>
              </w:rPr>
              <w:t> </w:t>
            </w:r>
            <w:r>
              <w:rPr>
                <w:sz w:val="20"/>
              </w:rPr>
              <w:t>of Study Close Out</w:t>
            </w:r>
          </w:p>
        </w:tc>
      </w:tr>
      <w:tr>
        <w:trPr>
          <w:trHeight w:val="1228" w:hRule="atLeast"/>
        </w:trPr>
        <w:tc>
          <w:tcPr>
            <w:tcW w:w="797" w:type="dxa"/>
          </w:tcPr>
          <w:p>
            <w:pPr>
              <w:pStyle w:val="TableParagraph"/>
              <w:ind w:left="11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6.3.3</w:t>
            </w:r>
          </w:p>
        </w:tc>
        <w:tc>
          <w:tcPr>
            <w:tcW w:w="1162" w:type="dxa"/>
          </w:tcPr>
          <w:p>
            <w:pPr>
              <w:pStyle w:val="TableParagraph"/>
              <w:spacing w:before="38"/>
              <w:ind w:left="110"/>
              <w:rPr>
                <w:sz w:val="22"/>
              </w:rPr>
            </w:pPr>
            <w:r>
              <w:rPr>
                <w:spacing w:val="-5"/>
                <w:sz w:val="22"/>
              </w:rPr>
              <w:t>CTS</w:t>
            </w:r>
          </w:p>
          <w:p>
            <w:pPr>
              <w:pStyle w:val="TableParagraph"/>
              <w:spacing w:before="1"/>
              <w:ind w:left="110"/>
              <w:rPr>
                <w:sz w:val="22"/>
              </w:rPr>
            </w:pPr>
            <w:r>
              <w:rPr>
                <w:spacing w:val="-4"/>
                <w:sz w:val="22"/>
              </w:rPr>
              <w:t>Team</w:t>
            </w:r>
          </w:p>
        </w:tc>
        <w:tc>
          <w:tcPr>
            <w:tcW w:w="6264" w:type="dxa"/>
          </w:tcPr>
          <w:p>
            <w:pPr>
              <w:pStyle w:val="TableParagraph"/>
              <w:spacing w:before="38"/>
              <w:ind w:left="104" w:right="183"/>
              <w:rPr>
                <w:sz w:val="20"/>
              </w:rPr>
            </w:pPr>
            <w:r>
              <w:rPr>
                <w:sz w:val="20"/>
              </w:rPr>
              <w:t>Prior to IRT Close Out, liaises with the clinical lead on closing out the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IRT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system.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Prior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IRT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closure, CTS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will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download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a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batch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to patient report (showing specific material administered to specific patients) and any other relevant reports from the IRT system and upload to the e-TMF</w:t>
            </w:r>
          </w:p>
        </w:tc>
        <w:tc>
          <w:tcPr>
            <w:tcW w:w="1843" w:type="dxa"/>
          </w:tcPr>
          <w:p>
            <w:pPr>
              <w:pStyle w:val="TableParagraph"/>
              <w:spacing w:before="38"/>
              <w:rPr>
                <w:sz w:val="20"/>
              </w:rPr>
            </w:pPr>
            <w:r>
              <w:rPr>
                <w:sz w:val="20"/>
              </w:rPr>
              <w:t>Prior</w:t>
            </w:r>
            <w:r>
              <w:rPr>
                <w:spacing w:val="-13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13"/>
                <w:sz w:val="20"/>
              </w:rPr>
              <w:t> </w:t>
            </w:r>
            <w:r>
              <w:rPr>
                <w:sz w:val="20"/>
              </w:rPr>
              <w:t>IRT</w:t>
            </w:r>
            <w:r>
              <w:rPr>
                <w:spacing w:val="-13"/>
                <w:sz w:val="20"/>
              </w:rPr>
              <w:t> </w:t>
            </w:r>
            <w:r>
              <w:rPr>
                <w:sz w:val="20"/>
              </w:rPr>
              <w:t>Close </w:t>
            </w:r>
            <w:r>
              <w:rPr>
                <w:spacing w:val="-4"/>
                <w:sz w:val="20"/>
              </w:rPr>
              <w:t>Out</w:t>
            </w:r>
          </w:p>
        </w:tc>
      </w:tr>
    </w:tbl>
    <w:p>
      <w:pPr>
        <w:pStyle w:val="BodyText"/>
        <w:spacing w:before="6"/>
        <w:rPr>
          <w:b/>
          <w:sz w:val="20"/>
        </w:rPr>
      </w:pPr>
    </w:p>
    <w:p>
      <w:pPr>
        <w:pStyle w:val="ListParagraph"/>
        <w:numPr>
          <w:ilvl w:val="0"/>
          <w:numId w:val="1"/>
        </w:numPr>
        <w:tabs>
          <w:tab w:pos="1259" w:val="left" w:leader="none"/>
          <w:tab w:pos="1260" w:val="left" w:leader="none"/>
        </w:tabs>
        <w:spacing w:line="240" w:lineRule="auto" w:before="0" w:after="0"/>
        <w:ind w:left="1260" w:right="0" w:hanging="720"/>
        <w:jc w:val="left"/>
        <w:rPr>
          <w:b/>
          <w:sz w:val="22"/>
        </w:rPr>
      </w:pPr>
      <w:r>
        <w:rPr>
          <w:b/>
          <w:sz w:val="22"/>
        </w:rPr>
        <w:t>SUPPORTING</w:t>
      </w:r>
      <w:r>
        <w:rPr>
          <w:b/>
          <w:spacing w:val="-11"/>
          <w:sz w:val="22"/>
        </w:rPr>
        <w:t> </w:t>
      </w:r>
      <w:r>
        <w:rPr>
          <w:b/>
          <w:spacing w:val="-2"/>
          <w:sz w:val="22"/>
        </w:rPr>
        <w:t>DOCUMENTATION</w:t>
      </w:r>
    </w:p>
    <w:p>
      <w:pPr>
        <w:pStyle w:val="BodyText"/>
        <w:spacing w:before="3"/>
        <w:rPr>
          <w:b/>
        </w:rPr>
      </w:pPr>
    </w:p>
    <w:tbl>
      <w:tblPr>
        <w:tblW w:w="0" w:type="auto"/>
        <w:jc w:val="left"/>
        <w:tblInd w:w="2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3778"/>
        <w:gridCol w:w="6125"/>
      </w:tblGrid>
      <w:tr>
        <w:trPr>
          <w:trHeight w:val="321" w:hRule="atLeast"/>
        </w:trPr>
        <w:tc>
          <w:tcPr>
            <w:tcW w:w="3778" w:type="dxa"/>
            <w:shd w:val="clear" w:color="auto" w:fill="D9D9D9"/>
          </w:tcPr>
          <w:p>
            <w:pPr>
              <w:pStyle w:val="TableParagraph"/>
              <w:spacing w:before="28"/>
              <w:ind w:left="115"/>
              <w:rPr>
                <w:b/>
                <w:sz w:val="22"/>
              </w:rPr>
            </w:pPr>
            <w:r>
              <w:rPr>
                <w:b/>
                <w:sz w:val="22"/>
              </w:rPr>
              <w:t>DOCUMENT</w:t>
            </w:r>
            <w:r>
              <w:rPr>
                <w:b/>
                <w:spacing w:val="-9"/>
                <w:sz w:val="22"/>
              </w:rPr>
              <w:t> </w:t>
            </w:r>
            <w:r>
              <w:rPr>
                <w:b/>
                <w:spacing w:val="-2"/>
                <w:sz w:val="22"/>
              </w:rPr>
              <w:t>NUMBER</w:t>
            </w:r>
          </w:p>
        </w:tc>
        <w:tc>
          <w:tcPr>
            <w:tcW w:w="6125" w:type="dxa"/>
            <w:shd w:val="clear" w:color="auto" w:fill="D9D9D9"/>
          </w:tcPr>
          <w:p>
            <w:pPr>
              <w:pStyle w:val="TableParagraph"/>
              <w:spacing w:before="28"/>
              <w:rPr>
                <w:b/>
                <w:sz w:val="22"/>
              </w:rPr>
            </w:pPr>
            <w:r>
              <w:rPr>
                <w:b/>
                <w:spacing w:val="-2"/>
                <w:sz w:val="22"/>
              </w:rPr>
              <w:t>TITLE</w:t>
            </w:r>
          </w:p>
        </w:tc>
      </w:tr>
      <w:tr>
        <w:trPr>
          <w:trHeight w:val="321" w:hRule="atLeast"/>
        </w:trPr>
        <w:tc>
          <w:tcPr>
            <w:tcW w:w="3778" w:type="dxa"/>
            <w:shd w:val="clear" w:color="auto" w:fill="D9D9D9"/>
          </w:tcPr>
          <w:p>
            <w:pPr>
              <w:pStyle w:val="TableParagraph"/>
              <w:spacing w:before="28"/>
              <w:ind w:left="115"/>
              <w:rPr>
                <w:b/>
                <w:sz w:val="22"/>
              </w:rPr>
            </w:pPr>
            <w:r>
              <w:rPr>
                <w:b/>
                <w:sz w:val="22"/>
              </w:rPr>
              <w:t>ESOP</w:t>
            </w:r>
            <w:r>
              <w:rPr>
                <w:b/>
                <w:spacing w:val="-3"/>
                <w:sz w:val="22"/>
              </w:rPr>
              <w:t> </w:t>
            </w:r>
            <w:r>
              <w:rPr>
                <w:b/>
                <w:spacing w:val="-2"/>
                <w:sz w:val="22"/>
              </w:rPr>
              <w:t>References</w:t>
            </w:r>
          </w:p>
        </w:tc>
        <w:tc>
          <w:tcPr>
            <w:tcW w:w="6125" w:type="dxa"/>
            <w:shd w:val="clear" w:color="auto" w:fill="D9D9D9"/>
          </w:tcPr>
          <w:p>
            <w:pPr>
              <w:pStyle w:val="TableParagraph"/>
              <w:spacing w:before="0"/>
              <w:ind w:left="0"/>
              <w:rPr>
                <w:rFonts w:ascii="Times New Roman"/>
                <w:sz w:val="20"/>
              </w:rPr>
            </w:pPr>
          </w:p>
        </w:tc>
      </w:tr>
      <w:tr>
        <w:trPr>
          <w:trHeight w:val="330" w:hRule="atLeast"/>
        </w:trPr>
        <w:tc>
          <w:tcPr>
            <w:tcW w:w="3778" w:type="dxa"/>
          </w:tcPr>
          <w:p>
            <w:pPr>
              <w:pStyle w:val="TableParagraph"/>
              <w:tabs>
                <w:tab w:pos="719" w:val="left" w:leader="none"/>
              </w:tabs>
              <w:spacing w:before="33"/>
              <w:ind w:left="0" w:right="226"/>
              <w:jc w:val="right"/>
              <w:rPr>
                <w:b/>
                <w:sz w:val="22"/>
              </w:rPr>
            </w:pPr>
            <w:r>
              <w:rPr>
                <w:b/>
                <w:spacing w:val="-5"/>
                <w:sz w:val="22"/>
              </w:rPr>
              <w:t>7.1</w:t>
            </w:r>
            <w:r>
              <w:rPr>
                <w:b/>
                <w:sz w:val="22"/>
              </w:rPr>
              <w:tab/>
            </w:r>
            <w:r>
              <w:rPr>
                <w:b/>
                <w:color w:val="0000FF"/>
                <w:spacing w:val="-2"/>
                <w:sz w:val="22"/>
                <w:u w:val="single" w:color="0000FF"/>
              </w:rPr>
              <w:t>CRO_OP_CTS0003</w:t>
            </w:r>
          </w:p>
        </w:tc>
        <w:tc>
          <w:tcPr>
            <w:tcW w:w="6125" w:type="dxa"/>
          </w:tcPr>
          <w:p>
            <w:pPr>
              <w:pStyle w:val="TableParagraph"/>
              <w:spacing w:before="28"/>
              <w:rPr>
                <w:sz w:val="22"/>
              </w:rPr>
            </w:pPr>
            <w:r>
              <w:rPr>
                <w:sz w:val="22"/>
              </w:rPr>
              <w:t>Distribution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Setup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&amp;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Product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Disposition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at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Vendor</w:t>
            </w:r>
            <w:r>
              <w:rPr>
                <w:spacing w:val="-6"/>
                <w:sz w:val="22"/>
              </w:rPr>
              <w:t> </w:t>
            </w:r>
            <w:r>
              <w:rPr>
                <w:spacing w:val="-2"/>
                <w:sz w:val="22"/>
              </w:rPr>
              <w:t>Facility</w:t>
            </w:r>
          </w:p>
        </w:tc>
      </w:tr>
      <w:tr>
        <w:trPr>
          <w:trHeight w:val="335" w:hRule="atLeast"/>
        </w:trPr>
        <w:tc>
          <w:tcPr>
            <w:tcW w:w="3778" w:type="dxa"/>
          </w:tcPr>
          <w:p>
            <w:pPr>
              <w:pStyle w:val="TableParagraph"/>
              <w:tabs>
                <w:tab w:pos="1554" w:val="left" w:leader="none"/>
              </w:tabs>
              <w:spacing w:before="33"/>
              <w:ind w:left="835"/>
              <w:rPr>
                <w:b/>
                <w:sz w:val="22"/>
              </w:rPr>
            </w:pPr>
            <w:r>
              <w:rPr>
                <w:b/>
                <w:spacing w:val="-5"/>
                <w:sz w:val="22"/>
              </w:rPr>
              <w:t>7.2</w:t>
            </w:r>
            <w:r>
              <w:rPr>
                <w:b/>
                <w:sz w:val="22"/>
              </w:rPr>
              <w:tab/>
            </w:r>
            <w:r>
              <w:rPr>
                <w:b/>
                <w:color w:val="0000FF"/>
                <w:spacing w:val="-2"/>
                <w:sz w:val="22"/>
                <w:u w:val="single" w:color="0000FF"/>
              </w:rPr>
              <w:t>CS_WI_SM0010</w:t>
            </w:r>
          </w:p>
        </w:tc>
        <w:tc>
          <w:tcPr>
            <w:tcW w:w="6125" w:type="dxa"/>
          </w:tcPr>
          <w:p>
            <w:pPr>
              <w:pStyle w:val="TableParagraph"/>
              <w:spacing w:before="28"/>
              <w:rPr>
                <w:sz w:val="22"/>
              </w:rPr>
            </w:pPr>
            <w:r>
              <w:rPr>
                <w:sz w:val="22"/>
              </w:rPr>
              <w:t>Investigational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Product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(IP)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Handling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and</w:t>
            </w:r>
            <w:r>
              <w:rPr>
                <w:spacing w:val="-7"/>
                <w:sz w:val="22"/>
              </w:rPr>
              <w:t> </w:t>
            </w:r>
            <w:r>
              <w:rPr>
                <w:spacing w:val="-2"/>
                <w:sz w:val="22"/>
              </w:rPr>
              <w:t>Monitoring</w:t>
            </w:r>
          </w:p>
        </w:tc>
      </w:tr>
      <w:tr>
        <w:trPr>
          <w:trHeight w:val="330" w:hRule="atLeast"/>
        </w:trPr>
        <w:tc>
          <w:tcPr>
            <w:tcW w:w="3778" w:type="dxa"/>
          </w:tcPr>
          <w:p>
            <w:pPr>
              <w:pStyle w:val="TableParagraph"/>
              <w:tabs>
                <w:tab w:pos="719" w:val="left" w:leader="none"/>
              </w:tabs>
              <w:spacing w:before="33"/>
              <w:ind w:left="0" w:right="264"/>
              <w:jc w:val="right"/>
              <w:rPr>
                <w:b/>
                <w:sz w:val="22"/>
              </w:rPr>
            </w:pPr>
            <w:r>
              <w:rPr>
                <w:b/>
                <w:spacing w:val="-5"/>
                <w:sz w:val="22"/>
              </w:rPr>
              <w:t>7.3</w:t>
            </w:r>
            <w:r>
              <w:rPr>
                <w:b/>
                <w:sz w:val="22"/>
              </w:rPr>
              <w:tab/>
            </w:r>
            <w:r>
              <w:rPr>
                <w:b/>
                <w:color w:val="0000FF"/>
                <w:spacing w:val="-2"/>
                <w:sz w:val="22"/>
                <w:u w:val="single" w:color="0000FF"/>
              </w:rPr>
              <w:t>CRO_TP_CTS0011</w:t>
            </w:r>
          </w:p>
        </w:tc>
        <w:tc>
          <w:tcPr>
            <w:tcW w:w="6125" w:type="dxa"/>
          </w:tcPr>
          <w:p>
            <w:pPr>
              <w:pStyle w:val="TableParagraph"/>
              <w:spacing w:before="28"/>
              <w:rPr>
                <w:sz w:val="22"/>
              </w:rPr>
            </w:pPr>
            <w:r>
              <w:rPr>
                <w:sz w:val="22"/>
              </w:rPr>
              <w:t>Returns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and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Destruction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Tracker</w:t>
            </w:r>
            <w:r>
              <w:rPr>
                <w:spacing w:val="-7"/>
                <w:sz w:val="22"/>
              </w:rPr>
              <w:t> </w:t>
            </w:r>
            <w:r>
              <w:rPr>
                <w:spacing w:val="-2"/>
                <w:sz w:val="22"/>
              </w:rPr>
              <w:t>Template</w:t>
            </w:r>
          </w:p>
        </w:tc>
      </w:tr>
    </w:tbl>
    <w:p>
      <w:pPr>
        <w:pStyle w:val="BodyText"/>
        <w:spacing w:before="7"/>
        <w:rPr>
          <w:b/>
          <w:sz w:val="20"/>
        </w:rPr>
      </w:pPr>
    </w:p>
    <w:p>
      <w:pPr>
        <w:pStyle w:val="ListParagraph"/>
        <w:numPr>
          <w:ilvl w:val="0"/>
          <w:numId w:val="1"/>
        </w:numPr>
        <w:tabs>
          <w:tab w:pos="1259" w:val="left" w:leader="none"/>
          <w:tab w:pos="1260" w:val="left" w:leader="none"/>
        </w:tabs>
        <w:spacing w:line="240" w:lineRule="auto" w:before="0" w:after="0"/>
        <w:ind w:left="1260" w:right="0" w:hanging="720"/>
        <w:jc w:val="left"/>
        <w:rPr>
          <w:b/>
          <w:sz w:val="22"/>
        </w:rPr>
      </w:pPr>
      <w:r>
        <w:rPr>
          <w:b/>
          <w:spacing w:val="-2"/>
          <w:sz w:val="22"/>
        </w:rPr>
        <w:t>SUPERSEDES</w:t>
      </w:r>
    </w:p>
    <w:p>
      <w:pPr>
        <w:pStyle w:val="BodyText"/>
        <w:spacing w:before="8"/>
        <w:rPr>
          <w:b/>
        </w:rPr>
      </w:pPr>
    </w:p>
    <w:tbl>
      <w:tblPr>
        <w:tblW w:w="0" w:type="auto"/>
        <w:jc w:val="left"/>
        <w:tblInd w:w="26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3778"/>
        <w:gridCol w:w="3802"/>
        <w:gridCol w:w="2338"/>
      </w:tblGrid>
      <w:tr>
        <w:trPr>
          <w:trHeight w:val="287" w:hRule="atLeast"/>
        </w:trPr>
        <w:tc>
          <w:tcPr>
            <w:tcW w:w="3778" w:type="dxa"/>
            <w:shd w:val="clear" w:color="auto" w:fill="BFBFBF"/>
          </w:tcPr>
          <w:p>
            <w:pPr>
              <w:pStyle w:val="TableParagraph"/>
              <w:spacing w:line="248" w:lineRule="exact" w:before="0"/>
              <w:ind w:left="105"/>
              <w:rPr>
                <w:b/>
                <w:sz w:val="22"/>
              </w:rPr>
            </w:pPr>
            <w:r>
              <w:rPr>
                <w:b/>
                <w:sz w:val="22"/>
              </w:rPr>
              <w:t>DOCUMENT</w:t>
            </w:r>
            <w:r>
              <w:rPr>
                <w:b/>
                <w:spacing w:val="-6"/>
                <w:sz w:val="22"/>
              </w:rPr>
              <w:t> </w:t>
            </w:r>
            <w:r>
              <w:rPr>
                <w:b/>
                <w:spacing w:val="-2"/>
                <w:sz w:val="22"/>
              </w:rPr>
              <w:t>NUMBER</w:t>
            </w:r>
          </w:p>
        </w:tc>
        <w:tc>
          <w:tcPr>
            <w:tcW w:w="3802" w:type="dxa"/>
            <w:shd w:val="clear" w:color="auto" w:fill="BFBFBF"/>
          </w:tcPr>
          <w:p>
            <w:pPr>
              <w:pStyle w:val="TableParagraph"/>
              <w:spacing w:line="248" w:lineRule="exact" w:before="0"/>
              <w:ind w:left="105"/>
              <w:rPr>
                <w:b/>
                <w:sz w:val="22"/>
              </w:rPr>
            </w:pPr>
            <w:r>
              <w:rPr>
                <w:b/>
                <w:spacing w:val="-2"/>
                <w:sz w:val="22"/>
              </w:rPr>
              <w:t>TITLE</w:t>
            </w:r>
          </w:p>
        </w:tc>
        <w:tc>
          <w:tcPr>
            <w:tcW w:w="2338" w:type="dxa"/>
            <w:shd w:val="clear" w:color="auto" w:fill="BFBFBF"/>
          </w:tcPr>
          <w:p>
            <w:pPr>
              <w:pStyle w:val="TableParagraph"/>
              <w:spacing w:line="248" w:lineRule="exact" w:before="0"/>
              <w:ind w:left="104"/>
              <w:rPr>
                <w:b/>
                <w:sz w:val="22"/>
              </w:rPr>
            </w:pPr>
            <w:r>
              <w:rPr>
                <w:b/>
                <w:sz w:val="22"/>
              </w:rPr>
              <w:t>REVISION</w:t>
            </w:r>
            <w:r>
              <w:rPr>
                <w:b/>
                <w:spacing w:val="-9"/>
                <w:sz w:val="22"/>
              </w:rPr>
              <w:t> </w:t>
            </w:r>
            <w:r>
              <w:rPr>
                <w:b/>
                <w:spacing w:val="-2"/>
                <w:sz w:val="22"/>
              </w:rPr>
              <w:t>NUMBER</w:t>
            </w:r>
          </w:p>
        </w:tc>
      </w:tr>
      <w:tr>
        <w:trPr>
          <w:trHeight w:val="330" w:hRule="atLeast"/>
        </w:trPr>
        <w:tc>
          <w:tcPr>
            <w:tcW w:w="3778" w:type="dxa"/>
          </w:tcPr>
          <w:p>
            <w:pPr>
              <w:pStyle w:val="TableParagraph"/>
              <w:tabs>
                <w:tab w:pos="1545" w:val="left" w:leader="none"/>
              </w:tabs>
              <w:spacing w:before="38"/>
              <w:ind w:left="825"/>
              <w:rPr>
                <w:b/>
                <w:sz w:val="20"/>
              </w:rPr>
            </w:pPr>
            <w:r>
              <w:rPr>
                <w:b/>
                <w:spacing w:val="-5"/>
                <w:sz w:val="22"/>
              </w:rPr>
              <w:t>8.1</w:t>
            </w:r>
            <w:r>
              <w:rPr>
                <w:b/>
                <w:sz w:val="22"/>
              </w:rPr>
              <w:tab/>
            </w:r>
            <w:r>
              <w:rPr>
                <w:spacing w:val="-2"/>
                <w:sz w:val="22"/>
              </w:rPr>
              <w:t>CRO</w:t>
            </w:r>
            <w:r>
              <w:rPr>
                <w:b/>
                <w:spacing w:val="-2"/>
                <w:sz w:val="20"/>
              </w:rPr>
              <w:t>_OP_CTS0004</w:t>
            </w:r>
          </w:p>
        </w:tc>
        <w:tc>
          <w:tcPr>
            <w:tcW w:w="3802" w:type="dxa"/>
          </w:tcPr>
          <w:p>
            <w:pPr>
              <w:pStyle w:val="TableParagraph"/>
              <w:spacing w:before="38"/>
              <w:ind w:left="105"/>
              <w:rPr>
                <w:sz w:val="22"/>
              </w:rPr>
            </w:pPr>
            <w:r>
              <w:rPr>
                <w:sz w:val="22"/>
              </w:rPr>
              <w:t>Study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Close</w:t>
            </w:r>
            <w:r>
              <w:rPr>
                <w:spacing w:val="-4"/>
                <w:sz w:val="22"/>
              </w:rPr>
              <w:t> </w:t>
            </w:r>
            <w:r>
              <w:rPr>
                <w:spacing w:val="-5"/>
                <w:sz w:val="22"/>
              </w:rPr>
              <w:t>Out</w:t>
            </w:r>
          </w:p>
        </w:tc>
        <w:tc>
          <w:tcPr>
            <w:tcW w:w="2338" w:type="dxa"/>
          </w:tcPr>
          <w:p>
            <w:pPr>
              <w:pStyle w:val="TableParagraph"/>
              <w:spacing w:before="38"/>
              <w:ind w:left="104"/>
              <w:rPr>
                <w:sz w:val="22"/>
              </w:rPr>
            </w:pPr>
            <w:r>
              <w:rPr>
                <w:w w:val="100"/>
                <w:sz w:val="22"/>
              </w:rPr>
              <w:t>2</w:t>
            </w:r>
          </w:p>
        </w:tc>
      </w:tr>
    </w:tbl>
    <w:p>
      <w:pPr>
        <w:spacing w:after="0"/>
        <w:rPr>
          <w:sz w:val="22"/>
        </w:rPr>
        <w:sectPr>
          <w:pgSz w:w="12240" w:h="15840"/>
          <w:pgMar w:header="979" w:footer="952" w:top="2760" w:bottom="1140" w:left="900" w:right="960"/>
        </w:sectPr>
      </w:pPr>
    </w:p>
    <w:p>
      <w:pPr>
        <w:pStyle w:val="BodyText"/>
        <w:rPr>
          <w:b/>
          <w:sz w:val="20"/>
        </w:rPr>
      </w:pPr>
    </w:p>
    <w:p>
      <w:pPr>
        <w:pStyle w:val="BodyText"/>
        <w:rPr>
          <w:b/>
          <w:sz w:val="20"/>
        </w:rPr>
      </w:pPr>
    </w:p>
    <w:p>
      <w:pPr>
        <w:pStyle w:val="BodyText"/>
        <w:spacing w:before="6"/>
        <w:rPr>
          <w:b/>
          <w:sz w:val="16"/>
        </w:rPr>
      </w:pPr>
    </w:p>
    <w:p>
      <w:pPr>
        <w:pStyle w:val="ListParagraph"/>
        <w:numPr>
          <w:ilvl w:val="0"/>
          <w:numId w:val="1"/>
        </w:numPr>
        <w:tabs>
          <w:tab w:pos="1259" w:val="left" w:leader="none"/>
          <w:tab w:pos="1260" w:val="left" w:leader="none"/>
        </w:tabs>
        <w:spacing w:line="240" w:lineRule="auto" w:before="94" w:after="0"/>
        <w:ind w:left="1260" w:right="0" w:hanging="720"/>
        <w:jc w:val="left"/>
        <w:rPr>
          <w:b/>
          <w:sz w:val="22"/>
        </w:rPr>
      </w:pPr>
      <w:r>
        <w:rPr>
          <w:b/>
          <w:sz w:val="22"/>
        </w:rPr>
        <w:t>MODIFICATION</w:t>
      </w:r>
      <w:r>
        <w:rPr>
          <w:b/>
          <w:spacing w:val="-9"/>
          <w:sz w:val="22"/>
        </w:rPr>
        <w:t> </w:t>
      </w:r>
      <w:r>
        <w:rPr>
          <w:b/>
          <w:sz w:val="22"/>
        </w:rPr>
        <w:t>FROM</w:t>
      </w:r>
      <w:r>
        <w:rPr>
          <w:b/>
          <w:spacing w:val="-9"/>
          <w:sz w:val="22"/>
        </w:rPr>
        <w:t> </w:t>
      </w:r>
      <w:r>
        <w:rPr>
          <w:b/>
          <w:sz w:val="22"/>
        </w:rPr>
        <w:t>PREVIOUS</w:t>
      </w:r>
      <w:r>
        <w:rPr>
          <w:b/>
          <w:spacing w:val="-9"/>
          <w:sz w:val="22"/>
        </w:rPr>
        <w:t> </w:t>
      </w:r>
      <w:r>
        <w:rPr>
          <w:b/>
          <w:spacing w:val="-2"/>
          <w:sz w:val="22"/>
        </w:rPr>
        <w:t>REVISION</w:t>
      </w:r>
    </w:p>
    <w:p>
      <w:pPr>
        <w:pStyle w:val="BodyText"/>
        <w:rPr>
          <w:b/>
          <w:sz w:val="20"/>
        </w:rPr>
      </w:pPr>
    </w:p>
    <w:p>
      <w:pPr>
        <w:pStyle w:val="BodyText"/>
        <w:spacing w:before="1"/>
        <w:rPr>
          <w:b/>
          <w:sz w:val="13"/>
        </w:rPr>
      </w:pPr>
    </w:p>
    <w:tbl>
      <w:tblPr>
        <w:tblW w:w="0" w:type="auto"/>
        <w:jc w:val="left"/>
        <w:tblInd w:w="2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3298"/>
        <w:gridCol w:w="2007"/>
        <w:gridCol w:w="4594"/>
      </w:tblGrid>
      <w:tr>
        <w:trPr>
          <w:trHeight w:val="556" w:hRule="atLeast"/>
        </w:trPr>
        <w:tc>
          <w:tcPr>
            <w:tcW w:w="3298" w:type="dxa"/>
            <w:shd w:val="clear" w:color="auto" w:fill="BFBFBF"/>
          </w:tcPr>
          <w:p>
            <w:pPr>
              <w:pStyle w:val="TableParagraph"/>
              <w:spacing w:before="28"/>
              <w:ind w:left="110"/>
              <w:rPr>
                <w:b/>
                <w:sz w:val="22"/>
              </w:rPr>
            </w:pPr>
            <w:r>
              <w:rPr>
                <w:b/>
                <w:spacing w:val="-2"/>
                <w:sz w:val="22"/>
              </w:rPr>
              <w:t>CHANGE</w:t>
            </w:r>
          </w:p>
        </w:tc>
        <w:tc>
          <w:tcPr>
            <w:tcW w:w="2007" w:type="dxa"/>
            <w:shd w:val="clear" w:color="auto" w:fill="BFBFBF"/>
          </w:tcPr>
          <w:p>
            <w:pPr>
              <w:pStyle w:val="TableParagraph"/>
              <w:spacing w:line="228" w:lineRule="auto" w:before="34"/>
              <w:rPr>
                <w:b/>
                <w:sz w:val="22"/>
              </w:rPr>
            </w:pPr>
            <w:r>
              <w:rPr>
                <w:b/>
                <w:spacing w:val="-2"/>
                <w:sz w:val="22"/>
              </w:rPr>
              <w:t>SECTION REFERENCE</w:t>
            </w:r>
          </w:p>
        </w:tc>
        <w:tc>
          <w:tcPr>
            <w:tcW w:w="4594" w:type="dxa"/>
            <w:shd w:val="clear" w:color="auto" w:fill="BFBFBF"/>
          </w:tcPr>
          <w:p>
            <w:pPr>
              <w:pStyle w:val="TableParagraph"/>
              <w:spacing w:before="28"/>
              <w:rPr>
                <w:b/>
                <w:sz w:val="22"/>
              </w:rPr>
            </w:pPr>
            <w:r>
              <w:rPr>
                <w:b/>
                <w:spacing w:val="-2"/>
                <w:sz w:val="22"/>
              </w:rPr>
              <w:t>JUSTIFICATION</w:t>
            </w:r>
          </w:p>
        </w:tc>
      </w:tr>
      <w:tr>
        <w:trPr>
          <w:trHeight w:val="561" w:hRule="atLeast"/>
        </w:trPr>
        <w:tc>
          <w:tcPr>
            <w:tcW w:w="3298" w:type="dxa"/>
          </w:tcPr>
          <w:p>
            <w:pPr>
              <w:pStyle w:val="TableParagraph"/>
              <w:spacing w:line="232" w:lineRule="auto" w:before="30"/>
              <w:ind w:left="110"/>
              <w:rPr>
                <w:sz w:val="22"/>
              </w:rPr>
            </w:pPr>
            <w:r>
              <w:rPr>
                <w:sz w:val="22"/>
              </w:rPr>
              <w:t>Definitions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for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CTS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team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and Clinical Trial Supplies listed</w:t>
            </w:r>
          </w:p>
        </w:tc>
        <w:tc>
          <w:tcPr>
            <w:tcW w:w="2007" w:type="dxa"/>
          </w:tcPr>
          <w:p>
            <w:pPr>
              <w:pStyle w:val="TableParagraph"/>
              <w:spacing w:before="28"/>
              <w:rPr>
                <w:sz w:val="22"/>
              </w:rPr>
            </w:pPr>
            <w:r>
              <w:rPr>
                <w:spacing w:val="-5"/>
                <w:sz w:val="22"/>
              </w:rPr>
              <w:t>4.0</w:t>
            </w:r>
          </w:p>
        </w:tc>
        <w:tc>
          <w:tcPr>
            <w:tcW w:w="4594" w:type="dxa"/>
          </w:tcPr>
          <w:p>
            <w:pPr>
              <w:pStyle w:val="TableParagraph"/>
              <w:spacing w:line="232" w:lineRule="auto" w:before="30"/>
              <w:rPr>
                <w:sz w:val="22"/>
              </w:rPr>
            </w:pPr>
            <w:r>
              <w:rPr>
                <w:sz w:val="22"/>
              </w:rPr>
              <w:t>To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state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CTS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definitions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for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CTS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Team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and Clinical Trial Supplies</w:t>
            </w:r>
          </w:p>
        </w:tc>
      </w:tr>
      <w:tr>
        <w:trPr>
          <w:trHeight w:val="801" w:hRule="atLeast"/>
        </w:trPr>
        <w:tc>
          <w:tcPr>
            <w:tcW w:w="3298" w:type="dxa"/>
          </w:tcPr>
          <w:p>
            <w:pPr>
              <w:pStyle w:val="TableParagraph"/>
              <w:spacing w:line="249" w:lineRule="auto" w:before="24"/>
              <w:ind w:left="110" w:right="79"/>
              <w:rPr>
                <w:sz w:val="20"/>
              </w:rPr>
            </w:pPr>
            <w:r>
              <w:rPr>
                <w:sz w:val="22"/>
              </w:rPr>
              <w:t>References</w:t>
            </w:r>
            <w:r>
              <w:rPr>
                <w:spacing w:val="-16"/>
                <w:sz w:val="22"/>
              </w:rPr>
              <w:t> </w:t>
            </w:r>
            <w:r>
              <w:rPr>
                <w:sz w:val="22"/>
              </w:rPr>
              <w:t>to</w:t>
            </w:r>
            <w:r>
              <w:rPr>
                <w:spacing w:val="-15"/>
                <w:sz w:val="22"/>
              </w:rPr>
              <w:t> </w:t>
            </w:r>
            <w:r>
              <w:rPr>
                <w:sz w:val="20"/>
              </w:rPr>
              <w:t>CS_WI_SM0010 Investigational Product (IP) Handling and Monitoring</w:t>
            </w:r>
          </w:p>
        </w:tc>
        <w:tc>
          <w:tcPr>
            <w:tcW w:w="2007" w:type="dxa"/>
          </w:tcPr>
          <w:p>
            <w:pPr>
              <w:pStyle w:val="TableParagraph"/>
              <w:spacing w:before="28"/>
              <w:rPr>
                <w:sz w:val="22"/>
              </w:rPr>
            </w:pPr>
            <w:r>
              <w:rPr>
                <w:spacing w:val="-5"/>
                <w:sz w:val="22"/>
              </w:rPr>
              <w:t>6.1</w:t>
            </w:r>
          </w:p>
        </w:tc>
        <w:tc>
          <w:tcPr>
            <w:tcW w:w="4594" w:type="dxa"/>
          </w:tcPr>
          <w:p>
            <w:pPr>
              <w:pStyle w:val="TableParagraph"/>
              <w:spacing w:line="230" w:lineRule="auto" w:before="32"/>
              <w:rPr>
                <w:sz w:val="22"/>
              </w:rPr>
            </w:pPr>
            <w:r>
              <w:rPr>
                <w:sz w:val="22"/>
              </w:rPr>
              <w:t>To cross reference the handling and monitoring</w:t>
            </w:r>
            <w:r>
              <w:rPr>
                <w:spacing w:val="-11"/>
                <w:sz w:val="22"/>
              </w:rPr>
              <w:t> </w:t>
            </w:r>
            <w:r>
              <w:rPr>
                <w:sz w:val="22"/>
              </w:rPr>
              <w:t>procedures</w:t>
            </w:r>
            <w:r>
              <w:rPr>
                <w:spacing w:val="-11"/>
                <w:sz w:val="22"/>
              </w:rPr>
              <w:t> </w:t>
            </w:r>
            <w:r>
              <w:rPr>
                <w:sz w:val="22"/>
              </w:rPr>
              <w:t>for</w:t>
            </w:r>
            <w:r>
              <w:rPr>
                <w:spacing w:val="-11"/>
                <w:sz w:val="22"/>
              </w:rPr>
              <w:t> </w:t>
            </w:r>
            <w:r>
              <w:rPr>
                <w:sz w:val="22"/>
              </w:rPr>
              <w:t>Investigational Product (IP) at clinical sites</w:t>
            </w:r>
          </w:p>
        </w:tc>
      </w:tr>
      <w:tr>
        <w:trPr>
          <w:trHeight w:val="1281" w:hRule="atLeast"/>
        </w:trPr>
        <w:tc>
          <w:tcPr>
            <w:tcW w:w="3298" w:type="dxa"/>
          </w:tcPr>
          <w:p>
            <w:pPr>
              <w:pStyle w:val="TableParagraph"/>
              <w:spacing w:line="228" w:lineRule="auto" w:before="34"/>
              <w:ind w:left="110" w:right="147"/>
              <w:rPr>
                <w:sz w:val="22"/>
              </w:rPr>
            </w:pPr>
            <w:r>
              <w:rPr>
                <w:sz w:val="22"/>
              </w:rPr>
              <w:t>Reference to </w:t>
            </w:r>
            <w:r>
              <w:rPr>
                <w:sz w:val="20"/>
              </w:rPr>
              <w:t>CRO_TP_CTS0011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2"/>
              </w:rPr>
              <w:t>Returns</w:t>
            </w:r>
            <w:r>
              <w:rPr>
                <w:spacing w:val="-16"/>
                <w:sz w:val="22"/>
              </w:rPr>
              <w:t> </w:t>
            </w:r>
            <w:r>
              <w:rPr>
                <w:sz w:val="22"/>
              </w:rPr>
              <w:t>and Destruction Tracker Template added and appendix 10.1 (a sample tracker) removed</w:t>
            </w:r>
          </w:p>
        </w:tc>
        <w:tc>
          <w:tcPr>
            <w:tcW w:w="2007" w:type="dxa"/>
          </w:tcPr>
          <w:p>
            <w:pPr>
              <w:pStyle w:val="TableParagraph"/>
              <w:spacing w:before="28"/>
              <w:rPr>
                <w:sz w:val="22"/>
              </w:rPr>
            </w:pPr>
            <w:r>
              <w:rPr>
                <w:spacing w:val="-5"/>
                <w:sz w:val="22"/>
              </w:rPr>
              <w:t>6.1</w:t>
            </w:r>
          </w:p>
        </w:tc>
        <w:tc>
          <w:tcPr>
            <w:tcW w:w="4594" w:type="dxa"/>
          </w:tcPr>
          <w:p>
            <w:pPr>
              <w:pStyle w:val="TableParagraph"/>
              <w:spacing w:line="228" w:lineRule="auto" w:before="34"/>
              <w:rPr>
                <w:sz w:val="22"/>
              </w:rPr>
            </w:pPr>
            <w:r>
              <w:rPr>
                <w:sz w:val="22"/>
              </w:rPr>
              <w:t>To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reference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the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Returns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and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Destruction Tracker Template</w:t>
            </w:r>
          </w:p>
        </w:tc>
      </w:tr>
      <w:tr>
        <w:trPr>
          <w:trHeight w:val="1597" w:hRule="atLeast"/>
        </w:trPr>
        <w:tc>
          <w:tcPr>
            <w:tcW w:w="3298" w:type="dxa"/>
          </w:tcPr>
          <w:p>
            <w:pPr>
              <w:pStyle w:val="TableParagraph"/>
              <w:spacing w:line="228" w:lineRule="auto" w:before="34"/>
              <w:ind w:left="110" w:right="79"/>
              <w:rPr>
                <w:sz w:val="22"/>
              </w:rPr>
            </w:pPr>
            <w:r>
              <w:rPr>
                <w:sz w:val="22"/>
              </w:rPr>
              <w:t>Removed section related to CTS providing Clinical and CRAs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with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training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on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close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out </w:t>
            </w:r>
            <w:r>
              <w:rPr>
                <w:spacing w:val="-2"/>
                <w:sz w:val="22"/>
              </w:rPr>
              <w:t>requirements</w:t>
            </w:r>
          </w:p>
          <w:p>
            <w:pPr>
              <w:pStyle w:val="TableParagraph"/>
              <w:spacing w:before="11"/>
              <w:ind w:left="0"/>
              <w:rPr>
                <w:b/>
                <w:sz w:val="26"/>
              </w:rPr>
            </w:pPr>
          </w:p>
          <w:p>
            <w:pPr>
              <w:pStyle w:val="TableParagraph"/>
              <w:spacing w:before="0"/>
              <w:ind w:left="110"/>
              <w:rPr>
                <w:sz w:val="22"/>
              </w:rPr>
            </w:pPr>
            <w:r>
              <w:rPr>
                <w:sz w:val="22"/>
              </w:rPr>
              <w:t>Section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numbers</w:t>
            </w:r>
            <w:r>
              <w:rPr>
                <w:spacing w:val="-7"/>
                <w:sz w:val="22"/>
              </w:rPr>
              <w:t> </w:t>
            </w:r>
            <w:r>
              <w:rPr>
                <w:spacing w:val="-2"/>
                <w:sz w:val="22"/>
              </w:rPr>
              <w:t>updated</w:t>
            </w:r>
          </w:p>
        </w:tc>
        <w:tc>
          <w:tcPr>
            <w:tcW w:w="2007" w:type="dxa"/>
          </w:tcPr>
          <w:p>
            <w:pPr>
              <w:pStyle w:val="TableParagraph"/>
              <w:spacing w:before="28"/>
              <w:rPr>
                <w:sz w:val="22"/>
              </w:rPr>
            </w:pPr>
            <w:r>
              <w:rPr>
                <w:spacing w:val="-2"/>
                <w:sz w:val="22"/>
              </w:rPr>
              <w:t>6.1.4</w:t>
            </w:r>
          </w:p>
        </w:tc>
        <w:tc>
          <w:tcPr>
            <w:tcW w:w="4594" w:type="dxa"/>
          </w:tcPr>
          <w:p>
            <w:pPr>
              <w:pStyle w:val="TableParagraph"/>
              <w:spacing w:line="228" w:lineRule="auto" w:before="34"/>
              <w:ind w:right="105"/>
              <w:rPr>
                <w:sz w:val="22"/>
              </w:rPr>
            </w:pPr>
            <w:r>
              <w:rPr>
                <w:sz w:val="22"/>
              </w:rPr>
              <w:t>CTS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are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not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responsible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for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training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Clinical and CRA during the study we will work closely with all groups to ensure that activities are understood and carried out as </w:t>
            </w:r>
            <w:r>
              <w:rPr>
                <w:spacing w:val="-2"/>
                <w:sz w:val="22"/>
              </w:rPr>
              <w:t>required.</w:t>
            </w:r>
          </w:p>
        </w:tc>
      </w:tr>
      <w:tr>
        <w:trPr>
          <w:trHeight w:val="561" w:hRule="atLeast"/>
        </w:trPr>
        <w:tc>
          <w:tcPr>
            <w:tcW w:w="3298" w:type="dxa"/>
          </w:tcPr>
          <w:p>
            <w:pPr>
              <w:pStyle w:val="TableParagraph"/>
              <w:spacing w:line="228" w:lineRule="auto" w:before="34"/>
              <w:ind w:left="110"/>
              <w:rPr>
                <w:sz w:val="22"/>
              </w:rPr>
            </w:pPr>
            <w:r>
              <w:rPr>
                <w:sz w:val="22"/>
              </w:rPr>
              <w:t>Wording</w:t>
            </w:r>
            <w:r>
              <w:rPr>
                <w:spacing w:val="-16"/>
                <w:sz w:val="22"/>
              </w:rPr>
              <w:t> </w:t>
            </w:r>
            <w:r>
              <w:rPr>
                <w:sz w:val="22"/>
              </w:rPr>
              <w:t>changes</w:t>
            </w:r>
            <w:r>
              <w:rPr>
                <w:spacing w:val="-15"/>
                <w:sz w:val="22"/>
              </w:rPr>
              <w:t> </w:t>
            </w:r>
            <w:r>
              <w:rPr>
                <w:sz w:val="22"/>
              </w:rPr>
              <w:t>made throughout for clarity</w:t>
            </w:r>
          </w:p>
        </w:tc>
        <w:tc>
          <w:tcPr>
            <w:tcW w:w="2007" w:type="dxa"/>
          </w:tcPr>
          <w:p>
            <w:pPr>
              <w:pStyle w:val="TableParagraph"/>
              <w:spacing w:before="28"/>
              <w:rPr>
                <w:sz w:val="22"/>
              </w:rPr>
            </w:pPr>
            <w:r>
              <w:rPr>
                <w:spacing w:val="-2"/>
                <w:sz w:val="22"/>
              </w:rPr>
              <w:t>Throughout</w:t>
            </w:r>
          </w:p>
        </w:tc>
        <w:tc>
          <w:tcPr>
            <w:tcW w:w="4594" w:type="dxa"/>
          </w:tcPr>
          <w:p>
            <w:pPr>
              <w:pStyle w:val="TableParagraph"/>
              <w:spacing w:before="28"/>
              <w:rPr>
                <w:sz w:val="22"/>
              </w:rPr>
            </w:pPr>
            <w:r>
              <w:rPr>
                <w:sz w:val="22"/>
              </w:rPr>
              <w:t>Ensure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consistency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and</w:t>
            </w:r>
            <w:r>
              <w:rPr>
                <w:spacing w:val="-6"/>
                <w:sz w:val="22"/>
              </w:rPr>
              <w:t> </w:t>
            </w:r>
            <w:r>
              <w:rPr>
                <w:spacing w:val="-2"/>
                <w:sz w:val="22"/>
              </w:rPr>
              <w:t>clarity</w:t>
            </w:r>
          </w:p>
        </w:tc>
      </w:tr>
      <w:tr>
        <w:trPr>
          <w:trHeight w:val="1041" w:hRule="atLeast"/>
        </w:trPr>
        <w:tc>
          <w:tcPr>
            <w:tcW w:w="3298" w:type="dxa"/>
          </w:tcPr>
          <w:p>
            <w:pPr>
              <w:pStyle w:val="TableParagraph"/>
              <w:spacing w:line="228" w:lineRule="auto" w:before="34"/>
              <w:ind w:left="110" w:right="79"/>
              <w:rPr>
                <w:sz w:val="22"/>
              </w:rPr>
            </w:pPr>
            <w:r>
              <w:rPr>
                <w:sz w:val="22"/>
              </w:rPr>
              <w:t>Section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reworded</w:t>
            </w:r>
            <w:r>
              <w:rPr>
                <w:spacing w:val="-10"/>
                <w:sz w:val="22"/>
              </w:rPr>
              <w:t> </w:t>
            </w:r>
            <w:r>
              <w:rPr>
                <w:sz w:val="22"/>
              </w:rPr>
              <w:t>to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clarify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the role CTS play when sites destroy material locally</w:t>
            </w:r>
          </w:p>
        </w:tc>
        <w:tc>
          <w:tcPr>
            <w:tcW w:w="2007" w:type="dxa"/>
          </w:tcPr>
          <w:p>
            <w:pPr>
              <w:pStyle w:val="TableParagraph"/>
              <w:spacing w:before="28"/>
              <w:rPr>
                <w:sz w:val="22"/>
              </w:rPr>
            </w:pPr>
            <w:r>
              <w:rPr>
                <w:sz w:val="22"/>
              </w:rPr>
              <w:t>6.1.7</w:t>
            </w:r>
            <w:r>
              <w:rPr>
                <w:spacing w:val="-2"/>
                <w:sz w:val="22"/>
              </w:rPr>
              <w:t> </w:t>
            </w:r>
            <w:r>
              <w:rPr>
                <w:sz w:val="22"/>
              </w:rPr>
              <w:t>to</w:t>
            </w:r>
            <w:r>
              <w:rPr>
                <w:spacing w:val="-2"/>
                <w:sz w:val="22"/>
              </w:rPr>
              <w:t> 6.1.6</w:t>
            </w:r>
          </w:p>
        </w:tc>
        <w:tc>
          <w:tcPr>
            <w:tcW w:w="4594" w:type="dxa"/>
          </w:tcPr>
          <w:p>
            <w:pPr>
              <w:pStyle w:val="TableParagraph"/>
              <w:spacing w:line="228" w:lineRule="auto" w:before="34"/>
              <w:ind w:right="105"/>
              <w:rPr>
                <w:sz w:val="22"/>
              </w:rPr>
            </w:pPr>
            <w:r>
              <w:rPr>
                <w:sz w:val="22"/>
              </w:rPr>
              <w:t>CTS do not need to track destruction of material when this is performed locally by sites.</w:t>
            </w:r>
            <w:r>
              <w:rPr>
                <w:spacing w:val="40"/>
                <w:sz w:val="22"/>
              </w:rPr>
              <w:t> </w:t>
            </w:r>
            <w:r>
              <w:rPr>
                <w:sz w:val="22"/>
              </w:rPr>
              <w:t>Oversight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of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this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activity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is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performed by Clinical.</w:t>
            </w:r>
          </w:p>
        </w:tc>
      </w:tr>
      <w:tr>
        <w:trPr>
          <w:trHeight w:val="556" w:hRule="atLeast"/>
        </w:trPr>
        <w:tc>
          <w:tcPr>
            <w:tcW w:w="3298" w:type="dxa"/>
          </w:tcPr>
          <w:p>
            <w:pPr>
              <w:pStyle w:val="TableParagraph"/>
              <w:spacing w:line="228" w:lineRule="auto" w:before="34"/>
              <w:ind w:left="110" w:right="129"/>
              <w:rPr>
                <w:sz w:val="22"/>
              </w:rPr>
            </w:pPr>
            <w:r>
              <w:rPr>
                <w:sz w:val="22"/>
              </w:rPr>
              <w:t>Documentation</w:t>
            </w:r>
            <w:r>
              <w:rPr>
                <w:spacing w:val="-16"/>
                <w:sz w:val="22"/>
              </w:rPr>
              <w:t> </w:t>
            </w:r>
            <w:r>
              <w:rPr>
                <w:sz w:val="22"/>
              </w:rPr>
              <w:t>examples </w:t>
            </w:r>
            <w:r>
              <w:rPr>
                <w:spacing w:val="-2"/>
                <w:sz w:val="22"/>
              </w:rPr>
              <w:t>added</w:t>
            </w:r>
          </w:p>
        </w:tc>
        <w:tc>
          <w:tcPr>
            <w:tcW w:w="2007" w:type="dxa"/>
          </w:tcPr>
          <w:p>
            <w:pPr>
              <w:pStyle w:val="TableParagraph"/>
              <w:spacing w:before="28"/>
              <w:rPr>
                <w:sz w:val="22"/>
              </w:rPr>
            </w:pPr>
            <w:r>
              <w:rPr>
                <w:spacing w:val="-2"/>
                <w:sz w:val="22"/>
              </w:rPr>
              <w:t>6.3.1</w:t>
            </w:r>
          </w:p>
        </w:tc>
        <w:tc>
          <w:tcPr>
            <w:tcW w:w="4594" w:type="dxa"/>
          </w:tcPr>
          <w:p>
            <w:pPr>
              <w:pStyle w:val="TableParagraph"/>
              <w:spacing w:before="28"/>
              <w:rPr>
                <w:sz w:val="22"/>
              </w:rPr>
            </w:pPr>
            <w:r>
              <w:rPr>
                <w:sz w:val="22"/>
              </w:rPr>
              <w:t>Additional </w:t>
            </w:r>
            <w:r>
              <w:rPr>
                <w:spacing w:val="-2"/>
                <w:sz w:val="22"/>
              </w:rPr>
              <w:t>clarity</w:t>
            </w:r>
          </w:p>
        </w:tc>
      </w:tr>
      <w:tr>
        <w:trPr>
          <w:trHeight w:val="1079" w:hRule="atLeast"/>
        </w:trPr>
        <w:tc>
          <w:tcPr>
            <w:tcW w:w="3298" w:type="dxa"/>
          </w:tcPr>
          <w:p>
            <w:pPr>
              <w:pStyle w:val="TableParagraph"/>
              <w:spacing w:line="242" w:lineRule="auto" w:before="24"/>
              <w:ind w:left="110"/>
              <w:rPr>
                <w:sz w:val="22"/>
              </w:rPr>
            </w:pPr>
            <w:r>
              <w:rPr>
                <w:sz w:val="22"/>
              </w:rPr>
              <w:t>Removed section as eTMF upload</w:t>
            </w:r>
            <w:r>
              <w:rPr>
                <w:spacing w:val="-10"/>
                <w:sz w:val="22"/>
              </w:rPr>
              <w:t> </w:t>
            </w:r>
            <w:r>
              <w:rPr>
                <w:sz w:val="22"/>
              </w:rPr>
              <w:t>covered</w:t>
            </w:r>
            <w:r>
              <w:rPr>
                <w:spacing w:val="-10"/>
                <w:sz w:val="22"/>
              </w:rPr>
              <w:t> </w:t>
            </w:r>
            <w:r>
              <w:rPr>
                <w:sz w:val="22"/>
              </w:rPr>
              <w:t>in</w:t>
            </w:r>
            <w:r>
              <w:rPr>
                <w:spacing w:val="-10"/>
                <w:sz w:val="22"/>
              </w:rPr>
              <w:t> </w:t>
            </w:r>
            <w:r>
              <w:rPr>
                <w:sz w:val="22"/>
              </w:rPr>
              <w:t>section</w:t>
            </w:r>
            <w:r>
              <w:rPr>
                <w:spacing w:val="-10"/>
                <w:sz w:val="22"/>
              </w:rPr>
              <w:t> </w:t>
            </w:r>
            <w:r>
              <w:rPr>
                <w:sz w:val="22"/>
              </w:rPr>
              <w:t>6.3.1 Section numbers updated </w:t>
            </w:r>
            <w:r>
              <w:rPr>
                <w:spacing w:val="-2"/>
                <w:sz w:val="22"/>
              </w:rPr>
              <w:t>accordingly</w:t>
            </w:r>
          </w:p>
        </w:tc>
        <w:tc>
          <w:tcPr>
            <w:tcW w:w="2007" w:type="dxa"/>
          </w:tcPr>
          <w:p>
            <w:pPr>
              <w:pStyle w:val="TableParagraph"/>
              <w:spacing w:before="28"/>
              <w:rPr>
                <w:sz w:val="22"/>
              </w:rPr>
            </w:pPr>
            <w:r>
              <w:rPr>
                <w:spacing w:val="-2"/>
                <w:sz w:val="22"/>
              </w:rPr>
              <w:t>6.3.2</w:t>
            </w:r>
          </w:p>
        </w:tc>
        <w:tc>
          <w:tcPr>
            <w:tcW w:w="4594" w:type="dxa"/>
          </w:tcPr>
          <w:p>
            <w:pPr>
              <w:pStyle w:val="TableParagraph"/>
              <w:spacing w:line="232" w:lineRule="auto" w:before="30"/>
              <w:rPr>
                <w:sz w:val="22"/>
              </w:rPr>
            </w:pPr>
            <w:r>
              <w:rPr>
                <w:sz w:val="22"/>
              </w:rPr>
              <w:t>6.3.1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already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covers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the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need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to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upload documents into eTMF</w:t>
            </w:r>
          </w:p>
        </w:tc>
      </w:tr>
      <w:tr>
        <w:trPr>
          <w:trHeight w:val="321" w:hRule="atLeast"/>
        </w:trPr>
        <w:tc>
          <w:tcPr>
            <w:tcW w:w="3298" w:type="dxa"/>
          </w:tcPr>
          <w:p>
            <w:pPr>
              <w:pStyle w:val="TableParagraph"/>
              <w:spacing w:before="28"/>
              <w:ind w:left="110"/>
              <w:rPr>
                <w:sz w:val="22"/>
              </w:rPr>
            </w:pPr>
            <w:r>
              <w:rPr>
                <w:sz w:val="22"/>
              </w:rPr>
              <w:t>Updated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IMP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to</w:t>
            </w:r>
            <w:r>
              <w:rPr>
                <w:spacing w:val="-4"/>
                <w:sz w:val="22"/>
              </w:rPr>
              <w:t> </w:t>
            </w:r>
            <w:r>
              <w:rPr>
                <w:spacing w:val="-5"/>
                <w:sz w:val="22"/>
              </w:rPr>
              <w:t>IP</w:t>
            </w:r>
          </w:p>
        </w:tc>
        <w:tc>
          <w:tcPr>
            <w:tcW w:w="2007" w:type="dxa"/>
          </w:tcPr>
          <w:p>
            <w:pPr>
              <w:pStyle w:val="TableParagraph"/>
              <w:spacing w:before="28"/>
              <w:rPr>
                <w:sz w:val="22"/>
              </w:rPr>
            </w:pPr>
            <w:r>
              <w:rPr>
                <w:spacing w:val="-2"/>
                <w:sz w:val="22"/>
              </w:rPr>
              <w:t>Throughout</w:t>
            </w:r>
          </w:p>
        </w:tc>
        <w:tc>
          <w:tcPr>
            <w:tcW w:w="4594" w:type="dxa"/>
          </w:tcPr>
          <w:p>
            <w:pPr>
              <w:pStyle w:val="TableParagraph"/>
              <w:spacing w:before="28"/>
              <w:rPr>
                <w:sz w:val="22"/>
              </w:rPr>
            </w:pPr>
            <w:r>
              <w:rPr>
                <w:sz w:val="22"/>
              </w:rPr>
              <w:t>Ensure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consistency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through</w:t>
            </w:r>
            <w:r>
              <w:rPr>
                <w:spacing w:val="-7"/>
                <w:sz w:val="22"/>
              </w:rPr>
              <w:t> </w:t>
            </w:r>
            <w:r>
              <w:rPr>
                <w:spacing w:val="-2"/>
                <w:sz w:val="22"/>
              </w:rPr>
              <w:t>document</w:t>
            </w:r>
          </w:p>
        </w:tc>
      </w:tr>
    </w:tbl>
    <w:p>
      <w:pPr>
        <w:pStyle w:val="BodyText"/>
        <w:spacing w:before="8"/>
        <w:rPr>
          <w:b/>
          <w:sz w:val="20"/>
        </w:rPr>
      </w:pPr>
    </w:p>
    <w:p>
      <w:pPr>
        <w:pStyle w:val="ListParagraph"/>
        <w:numPr>
          <w:ilvl w:val="0"/>
          <w:numId w:val="1"/>
        </w:numPr>
        <w:tabs>
          <w:tab w:pos="1259" w:val="left" w:leader="none"/>
          <w:tab w:pos="1260" w:val="left" w:leader="none"/>
        </w:tabs>
        <w:spacing w:line="240" w:lineRule="auto" w:before="0" w:after="0"/>
        <w:ind w:left="1260" w:right="0" w:hanging="720"/>
        <w:jc w:val="left"/>
        <w:rPr>
          <w:b/>
          <w:sz w:val="22"/>
        </w:rPr>
      </w:pPr>
      <w:r>
        <w:rPr>
          <w:b/>
          <w:spacing w:val="-2"/>
          <w:sz w:val="22"/>
        </w:rPr>
        <w:t>APPENDICES</w:t>
      </w:r>
    </w:p>
    <w:p>
      <w:pPr>
        <w:pStyle w:val="BodyText"/>
        <w:spacing w:before="5"/>
        <w:rPr>
          <w:b/>
          <w:sz w:val="21"/>
        </w:rPr>
      </w:pPr>
    </w:p>
    <w:p>
      <w:pPr>
        <w:pStyle w:val="BodyText"/>
        <w:ind w:left="1260"/>
      </w:pPr>
      <w:r>
        <w:rPr/>
        <w:t>Not</w:t>
      </w:r>
      <w:r>
        <w:rPr>
          <w:spacing w:val="2"/>
        </w:rPr>
        <w:t> </w:t>
      </w:r>
      <w:r>
        <w:rPr>
          <w:spacing w:val="-2"/>
        </w:rPr>
        <w:t>Applicable</w:t>
      </w: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spacing w:before="6"/>
        <w:rPr>
          <w:sz w:val="11"/>
        </w:rPr>
      </w:pPr>
      <w:r>
        <w:rPr/>
      </w:r>
    </w:p>
    <w:p>
      <w:pPr>
        <w:spacing w:line="183" w:lineRule="exact" w:before="18"/>
        <w:ind w:left="4764" w:right="0" w:firstLine="0"/>
        <w:jc w:val="left"/>
        <w:rPr>
          <w:sz w:val="16"/>
        </w:rPr>
      </w:pPr>
      <w:r>
        <w:rPr>
          <w:sz w:val="16"/>
        </w:rPr>
        <w:t>Page</w:t>
      </w:r>
      <w:r>
        <w:rPr>
          <w:spacing w:val="-2"/>
          <w:sz w:val="16"/>
        </w:rPr>
        <w:t> </w:t>
      </w:r>
      <w:r>
        <w:rPr>
          <w:sz w:val="16"/>
        </w:rPr>
        <w:t>5</w:t>
      </w:r>
      <w:r>
        <w:rPr>
          <w:spacing w:val="-4"/>
          <w:sz w:val="16"/>
        </w:rPr>
        <w:t> </w:t>
      </w:r>
      <w:r>
        <w:rPr>
          <w:sz w:val="16"/>
        </w:rPr>
        <w:t>of</w:t>
      </w:r>
      <w:r>
        <w:rPr>
          <w:spacing w:val="-3"/>
          <w:sz w:val="16"/>
        </w:rPr>
        <w:t> </w:t>
      </w:r>
      <w:r>
        <w:rPr>
          <w:spacing w:val="-10"/>
          <w:sz w:val="16"/>
        </w:rPr>
        <w:t>5</w:t>
      </w:r>
    </w:p>
    <w:p>
      <w:pPr>
        <w:spacing w:line="244" w:lineRule="auto" w:before="0"/>
        <w:ind w:left="448" w:right="519" w:firstLine="0"/>
        <w:jc w:val="left"/>
        <w:rPr>
          <w:sz w:val="16"/>
        </w:rPr>
      </w:pPr>
      <w:r>
        <w:rPr>
          <w:sz w:val="16"/>
        </w:rPr>
        <w:t>Copyright</w:t>
      </w:r>
      <w:r>
        <w:rPr>
          <w:spacing w:val="-2"/>
          <w:sz w:val="16"/>
        </w:rPr>
        <w:t> </w:t>
      </w:r>
      <w:r>
        <w:rPr>
          <w:sz w:val="16"/>
        </w:rPr>
        <w:t>©</w:t>
      </w:r>
      <w:r>
        <w:rPr>
          <w:spacing w:val="-2"/>
          <w:sz w:val="16"/>
        </w:rPr>
        <w:t> </w:t>
      </w:r>
      <w:r>
        <w:rPr>
          <w:sz w:val="16"/>
        </w:rPr>
        <w:t>2020,</w:t>
      </w:r>
      <w:r>
        <w:rPr>
          <w:spacing w:val="-1"/>
          <w:sz w:val="16"/>
        </w:rPr>
        <w:t> </w:t>
      </w:r>
      <w:r>
        <w:rPr>
          <w:sz w:val="16"/>
        </w:rPr>
        <w:t>2023</w:t>
      </w:r>
      <w:r>
        <w:rPr>
          <w:spacing w:val="-6"/>
          <w:sz w:val="16"/>
        </w:rPr>
        <w:t> </w:t>
      </w:r>
      <w:r>
        <w:rPr>
          <w:sz w:val="16"/>
        </w:rPr>
        <w:t>IQVIA.</w:t>
      </w:r>
      <w:r>
        <w:rPr>
          <w:spacing w:val="-2"/>
          <w:sz w:val="16"/>
        </w:rPr>
        <w:t> </w:t>
      </w:r>
      <w:r>
        <w:rPr>
          <w:sz w:val="16"/>
        </w:rPr>
        <w:t>All</w:t>
      </w:r>
      <w:r>
        <w:rPr>
          <w:spacing w:val="-3"/>
          <w:sz w:val="16"/>
        </w:rPr>
        <w:t> </w:t>
      </w:r>
      <w:r>
        <w:rPr>
          <w:sz w:val="16"/>
        </w:rPr>
        <w:t>rights</w:t>
      </w:r>
      <w:r>
        <w:rPr>
          <w:spacing w:val="-3"/>
          <w:sz w:val="16"/>
        </w:rPr>
        <w:t> </w:t>
      </w:r>
      <w:r>
        <w:rPr>
          <w:sz w:val="16"/>
        </w:rPr>
        <w:t>reserved.</w:t>
      </w:r>
      <w:r>
        <w:rPr>
          <w:spacing w:val="-3"/>
          <w:sz w:val="16"/>
        </w:rPr>
        <w:t> </w:t>
      </w:r>
      <w:r>
        <w:rPr>
          <w:sz w:val="16"/>
        </w:rPr>
        <w:t>The</w:t>
      </w:r>
      <w:r>
        <w:rPr>
          <w:spacing w:val="-2"/>
          <w:sz w:val="16"/>
        </w:rPr>
        <w:t> </w:t>
      </w:r>
      <w:r>
        <w:rPr>
          <w:sz w:val="16"/>
        </w:rPr>
        <w:t>contents</w:t>
      </w:r>
      <w:r>
        <w:rPr>
          <w:spacing w:val="-3"/>
          <w:sz w:val="16"/>
        </w:rPr>
        <w:t> </w:t>
      </w:r>
      <w:r>
        <w:rPr>
          <w:sz w:val="16"/>
        </w:rPr>
        <w:t>of</w:t>
      </w:r>
      <w:r>
        <w:rPr>
          <w:spacing w:val="-3"/>
          <w:sz w:val="16"/>
        </w:rPr>
        <w:t> </w:t>
      </w:r>
      <w:r>
        <w:rPr>
          <w:sz w:val="16"/>
        </w:rPr>
        <w:t>this</w:t>
      </w:r>
      <w:r>
        <w:rPr>
          <w:spacing w:val="-2"/>
          <w:sz w:val="16"/>
        </w:rPr>
        <w:t> </w:t>
      </w:r>
      <w:r>
        <w:rPr>
          <w:sz w:val="16"/>
        </w:rPr>
        <w:t>document are</w:t>
      </w:r>
      <w:r>
        <w:rPr>
          <w:spacing w:val="-3"/>
          <w:sz w:val="16"/>
        </w:rPr>
        <w:t> </w:t>
      </w:r>
      <w:r>
        <w:rPr>
          <w:sz w:val="16"/>
        </w:rPr>
        <w:t>confidential</w:t>
      </w:r>
      <w:r>
        <w:rPr>
          <w:spacing w:val="-3"/>
          <w:sz w:val="16"/>
        </w:rPr>
        <w:t> </w:t>
      </w:r>
      <w:r>
        <w:rPr>
          <w:sz w:val="16"/>
        </w:rPr>
        <w:t>and</w:t>
      </w:r>
      <w:r>
        <w:rPr>
          <w:spacing w:val="-3"/>
          <w:sz w:val="16"/>
        </w:rPr>
        <w:t> </w:t>
      </w:r>
      <w:r>
        <w:rPr>
          <w:sz w:val="16"/>
        </w:rPr>
        <w:t>proprietary</w:t>
      </w:r>
      <w:r>
        <w:rPr>
          <w:spacing w:val="-3"/>
          <w:sz w:val="16"/>
        </w:rPr>
        <w:t> </w:t>
      </w:r>
      <w:r>
        <w:rPr>
          <w:sz w:val="16"/>
        </w:rPr>
        <w:t>to</w:t>
      </w:r>
      <w:r>
        <w:rPr>
          <w:spacing w:val="-3"/>
          <w:sz w:val="16"/>
        </w:rPr>
        <w:t> </w:t>
      </w:r>
      <w:r>
        <w:rPr>
          <w:sz w:val="16"/>
        </w:rPr>
        <w:t>IQVIA</w:t>
      </w:r>
      <w:r>
        <w:rPr>
          <w:spacing w:val="-3"/>
          <w:sz w:val="16"/>
        </w:rPr>
        <w:t> </w:t>
      </w:r>
      <w:r>
        <w:rPr>
          <w:sz w:val="16"/>
        </w:rPr>
        <w:t>Holdings Inc. and its subsidiaries. Unauthorized use, disclosure or reproduction is strictly prohibited.</w:t>
      </w:r>
    </w:p>
    <w:p>
      <w:pPr>
        <w:spacing w:after="0" w:line="244" w:lineRule="auto"/>
        <w:jc w:val="left"/>
        <w:rPr>
          <w:sz w:val="16"/>
        </w:rPr>
        <w:sectPr>
          <w:headerReference w:type="default" r:id="rId9"/>
          <w:footerReference w:type="default" r:id="rId10"/>
          <w:pgSz w:w="12240" w:h="15840"/>
          <w:pgMar w:header="979" w:footer="268" w:top="2760" w:bottom="460" w:left="900" w:right="960"/>
        </w:sectPr>
      </w:pPr>
    </w:p>
    <w:p>
      <w:pPr>
        <w:spacing w:line="321" w:lineRule="exact" w:before="79"/>
        <w:ind w:left="606" w:right="516" w:firstLine="0"/>
        <w:jc w:val="center"/>
        <w:rPr>
          <w:sz w:val="28"/>
        </w:rPr>
      </w:pPr>
      <w:r>
        <w:rPr/>
      </w:r>
      <w:r>
        <w:rPr>
          <w:sz w:val="28"/>
        </w:rPr>
        <w:t>Standard</w:t>
      </w:r>
      <w:r>
        <w:rPr>
          <w:spacing w:val="-13"/>
          <w:sz w:val="28"/>
        </w:rPr>
        <w:t> </w:t>
      </w:r>
      <w:r>
        <w:rPr>
          <w:sz w:val="28"/>
        </w:rPr>
        <w:t>Operating</w:t>
      </w:r>
      <w:r>
        <w:rPr>
          <w:spacing w:val="-12"/>
          <w:sz w:val="28"/>
        </w:rPr>
        <w:t> </w:t>
      </w:r>
      <w:r>
        <w:rPr>
          <w:sz w:val="28"/>
        </w:rPr>
        <w:t>Procedure</w:t>
      </w:r>
      <w:r>
        <w:rPr>
          <w:spacing w:val="-12"/>
          <w:sz w:val="28"/>
        </w:rPr>
        <w:t> </w:t>
      </w:r>
      <w:r>
        <w:rPr>
          <w:sz w:val="28"/>
        </w:rPr>
        <w:t>Approval</w:t>
      </w:r>
      <w:r>
        <w:rPr>
          <w:spacing w:val="-12"/>
          <w:sz w:val="28"/>
        </w:rPr>
        <w:t> </w:t>
      </w:r>
      <w:r>
        <w:rPr>
          <w:spacing w:val="-2"/>
          <w:sz w:val="28"/>
        </w:rPr>
        <w:t>Signature(s)</w:t>
      </w:r>
    </w:p>
    <w:p>
      <w:pPr>
        <w:pStyle w:val="BodyText"/>
        <w:spacing w:line="252" w:lineRule="exact"/>
        <w:ind w:left="606" w:right="549"/>
        <w:jc w:val="center"/>
      </w:pPr>
      <w:r>
        <w:rPr/>
        <w:t>This</w:t>
      </w:r>
      <w:r>
        <w:rPr>
          <w:spacing w:val="-6"/>
        </w:rPr>
        <w:t> </w:t>
      </w:r>
      <w:r>
        <w:rPr/>
        <w:t>is</w:t>
      </w:r>
      <w:r>
        <w:rPr>
          <w:spacing w:val="-6"/>
        </w:rPr>
        <w:t> </w:t>
      </w:r>
      <w:r>
        <w:rPr/>
        <w:t>a</w:t>
      </w:r>
      <w:r>
        <w:rPr>
          <w:spacing w:val="-7"/>
        </w:rPr>
        <w:t> </w:t>
      </w:r>
      <w:r>
        <w:rPr/>
        <w:t>representation</w:t>
      </w:r>
      <w:r>
        <w:rPr>
          <w:spacing w:val="-7"/>
        </w:rPr>
        <w:t> </w:t>
      </w:r>
      <w:r>
        <w:rPr/>
        <w:t>of</w:t>
      </w:r>
      <w:r>
        <w:rPr>
          <w:spacing w:val="-5"/>
        </w:rPr>
        <w:t> </w:t>
      </w:r>
      <w:r>
        <w:rPr/>
        <w:t>an</w:t>
      </w:r>
      <w:r>
        <w:rPr>
          <w:spacing w:val="-6"/>
        </w:rPr>
        <w:t> </w:t>
      </w:r>
      <w:r>
        <w:rPr/>
        <w:t>electronic</w:t>
      </w:r>
      <w:r>
        <w:rPr>
          <w:spacing w:val="-6"/>
        </w:rPr>
        <w:t> </w:t>
      </w:r>
      <w:r>
        <w:rPr/>
        <w:t>record</w:t>
      </w:r>
      <w:r>
        <w:rPr>
          <w:spacing w:val="-6"/>
        </w:rPr>
        <w:t> </w:t>
      </w:r>
      <w:r>
        <w:rPr/>
        <w:t>that</w:t>
      </w:r>
      <w:r>
        <w:rPr>
          <w:spacing w:val="-6"/>
        </w:rPr>
        <w:t> </w:t>
      </w:r>
      <w:r>
        <w:rPr/>
        <w:t>was</w:t>
      </w:r>
      <w:r>
        <w:rPr>
          <w:spacing w:val="-5"/>
        </w:rPr>
        <w:t> </w:t>
      </w:r>
      <w:r>
        <w:rPr/>
        <w:t>signed</w:t>
      </w:r>
      <w:r>
        <w:rPr>
          <w:spacing w:val="-6"/>
        </w:rPr>
        <w:t> </w:t>
      </w:r>
      <w:r>
        <w:rPr/>
        <w:t>electronically</w:t>
      </w:r>
      <w:r>
        <w:rPr>
          <w:spacing w:val="-6"/>
        </w:rPr>
        <w:t> </w:t>
      </w:r>
      <w:r>
        <w:rPr/>
        <w:t>in</w:t>
      </w:r>
      <w:r>
        <w:rPr>
          <w:spacing w:val="-6"/>
        </w:rPr>
        <w:t> </w:t>
      </w:r>
      <w:r>
        <w:rPr/>
        <w:t>Content</w:t>
      </w:r>
      <w:r>
        <w:rPr>
          <w:spacing w:val="-6"/>
        </w:rPr>
        <w:t> </w:t>
      </w:r>
      <w:r>
        <w:rPr>
          <w:spacing w:val="-2"/>
        </w:rPr>
        <w:t>Server.</w:t>
      </w:r>
    </w:p>
    <w:p>
      <w:pPr>
        <w:pStyle w:val="BodyText"/>
        <w:spacing w:line="276" w:lineRule="auto"/>
        <w:ind w:left="606" w:right="545"/>
        <w:jc w:val="center"/>
      </w:pPr>
      <w:r>
        <w:rPr/>
        <w:t>This</w:t>
      </w:r>
      <w:r>
        <w:rPr>
          <w:spacing w:val="-3"/>
        </w:rPr>
        <w:t> </w:t>
      </w:r>
      <w:r>
        <w:rPr/>
        <w:t>page</w:t>
      </w:r>
      <w:r>
        <w:rPr>
          <w:spacing w:val="-3"/>
        </w:rPr>
        <w:t> </w:t>
      </w:r>
      <w:r>
        <w:rPr/>
        <w:t>is</w:t>
      </w:r>
      <w:r>
        <w:rPr>
          <w:spacing w:val="-3"/>
        </w:rPr>
        <w:t> </w:t>
      </w:r>
      <w:r>
        <w:rPr/>
        <w:t>the</w:t>
      </w:r>
      <w:r>
        <w:rPr>
          <w:spacing w:val="-3"/>
        </w:rPr>
        <w:t> </w:t>
      </w:r>
      <w:r>
        <w:rPr/>
        <w:t>manifestation</w:t>
      </w:r>
      <w:r>
        <w:rPr>
          <w:spacing w:val="-3"/>
        </w:rPr>
        <w:t> </w:t>
      </w:r>
      <w:r>
        <w:rPr/>
        <w:t>of</w:t>
      </w:r>
      <w:r>
        <w:rPr>
          <w:spacing w:val="-3"/>
        </w:rPr>
        <w:t> </w:t>
      </w:r>
      <w:r>
        <w:rPr/>
        <w:t>the</w:t>
      </w:r>
      <w:r>
        <w:rPr>
          <w:spacing w:val="-4"/>
        </w:rPr>
        <w:t> </w:t>
      </w:r>
      <w:r>
        <w:rPr/>
        <w:t>electronic</w:t>
      </w:r>
      <w:r>
        <w:rPr>
          <w:spacing w:val="-4"/>
        </w:rPr>
        <w:t> </w:t>
      </w:r>
      <w:r>
        <w:rPr/>
        <w:t>signature(s)</w:t>
      </w:r>
      <w:r>
        <w:rPr>
          <w:spacing w:val="-3"/>
        </w:rPr>
        <w:t> </w:t>
      </w:r>
      <w:r>
        <w:rPr/>
        <w:t>used</w:t>
      </w:r>
      <w:r>
        <w:rPr>
          <w:spacing w:val="-3"/>
        </w:rPr>
        <w:t> </w:t>
      </w:r>
      <w:r>
        <w:rPr/>
        <w:t>in</w:t>
      </w:r>
      <w:r>
        <w:rPr>
          <w:spacing w:val="-3"/>
        </w:rPr>
        <w:t> </w:t>
      </w:r>
      <w:r>
        <w:rPr/>
        <w:t>compliance</w:t>
      </w:r>
      <w:r>
        <w:rPr>
          <w:spacing w:val="-3"/>
        </w:rPr>
        <w:t> </w:t>
      </w:r>
      <w:r>
        <w:rPr/>
        <w:t>with</w:t>
      </w:r>
      <w:r>
        <w:rPr>
          <w:spacing w:val="-3"/>
        </w:rPr>
        <w:t> </w:t>
      </w:r>
      <w:r>
        <w:rPr/>
        <w:t>the organization’s electronic signature policies and procedures</w:t>
      </w:r>
    </w:p>
    <w:p>
      <w:pPr>
        <w:pStyle w:val="BodyText"/>
        <w:ind w:left="491" w:right="549"/>
        <w:jc w:val="center"/>
      </w:pPr>
      <w:r>
        <w:rPr/>
        <w:t>Refer</w:t>
      </w:r>
      <w:r>
        <w:rPr>
          <w:spacing w:val="-6"/>
        </w:rPr>
        <w:t> </w:t>
      </w:r>
      <w:r>
        <w:rPr/>
        <w:t>to</w:t>
      </w:r>
      <w:r>
        <w:rPr>
          <w:spacing w:val="-5"/>
        </w:rPr>
        <w:t> </w:t>
      </w:r>
      <w:r>
        <w:rPr/>
        <w:t>Signatories</w:t>
      </w:r>
      <w:r>
        <w:rPr>
          <w:spacing w:val="-6"/>
        </w:rPr>
        <w:t> </w:t>
      </w:r>
      <w:r>
        <w:rPr/>
        <w:t>CV</w:t>
      </w:r>
      <w:r>
        <w:rPr>
          <w:spacing w:val="-5"/>
        </w:rPr>
        <w:t> </w:t>
      </w:r>
      <w:r>
        <w:rPr/>
        <w:t>for</w:t>
      </w:r>
      <w:r>
        <w:rPr>
          <w:spacing w:val="-6"/>
        </w:rPr>
        <w:t> </w:t>
      </w:r>
      <w:r>
        <w:rPr/>
        <w:t>Business</w:t>
      </w:r>
      <w:r>
        <w:rPr>
          <w:spacing w:val="-5"/>
        </w:rPr>
        <w:t> </w:t>
      </w:r>
      <w:r>
        <w:rPr>
          <w:spacing w:val="-2"/>
        </w:rPr>
        <w:t>Title.</w:t>
      </w: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spacing w:before="1"/>
        <w:rPr>
          <w:sz w:val="25"/>
        </w:rPr>
      </w:pPr>
    </w:p>
    <w:p>
      <w:pPr>
        <w:spacing w:line="249" w:lineRule="auto" w:before="0"/>
        <w:ind w:left="740" w:right="5967" w:firstLine="0"/>
        <w:jc w:val="left"/>
        <w:rPr>
          <w:sz w:val="20"/>
        </w:rPr>
      </w:pPr>
      <w:r>
        <w:rPr>
          <w:sz w:val="20"/>
        </w:rPr>
        <w:t>UserName:</w:t>
      </w:r>
      <w:r>
        <w:rPr>
          <w:spacing w:val="-11"/>
          <w:sz w:val="20"/>
        </w:rPr>
        <w:t> </w:t>
      </w:r>
      <w:r>
        <w:rPr>
          <w:sz w:val="20"/>
        </w:rPr>
        <w:t>Lamb,</w:t>
      </w:r>
      <w:r>
        <w:rPr>
          <w:spacing w:val="-11"/>
          <w:sz w:val="20"/>
        </w:rPr>
        <w:t> </w:t>
      </w:r>
      <w:r>
        <w:rPr>
          <w:sz w:val="20"/>
        </w:rPr>
        <w:t>Stacy</w:t>
      </w:r>
      <w:r>
        <w:rPr>
          <w:spacing w:val="36"/>
          <w:sz w:val="20"/>
        </w:rPr>
        <w:t> </w:t>
      </w:r>
      <w:r>
        <w:rPr>
          <w:sz w:val="20"/>
        </w:rPr>
        <w:t>(u1082363) </w:t>
      </w:r>
      <w:r>
        <w:rPr>
          <w:spacing w:val="-2"/>
          <w:sz w:val="20"/>
        </w:rPr>
        <w:t>Title:</w:t>
      </w:r>
    </w:p>
    <w:p>
      <w:pPr>
        <w:spacing w:line="249" w:lineRule="auto" w:before="1"/>
        <w:ind w:left="740" w:right="3586" w:firstLine="0"/>
        <w:jc w:val="left"/>
        <w:rPr>
          <w:sz w:val="20"/>
        </w:rPr>
      </w:pPr>
      <w:r>
        <w:rPr>
          <w:sz w:val="20"/>
        </w:rPr>
        <w:t>Date:</w:t>
      </w:r>
      <w:r>
        <w:rPr>
          <w:spacing w:val="-5"/>
          <w:sz w:val="20"/>
        </w:rPr>
        <w:t> </w:t>
      </w:r>
      <w:r>
        <w:rPr>
          <w:sz w:val="20"/>
        </w:rPr>
        <w:t>Tuesday,</w:t>
      </w:r>
      <w:r>
        <w:rPr>
          <w:spacing w:val="-4"/>
          <w:sz w:val="20"/>
        </w:rPr>
        <w:t> </w:t>
      </w:r>
      <w:r>
        <w:rPr>
          <w:sz w:val="20"/>
        </w:rPr>
        <w:t>14</w:t>
      </w:r>
      <w:r>
        <w:rPr>
          <w:spacing w:val="-5"/>
          <w:sz w:val="20"/>
        </w:rPr>
        <w:t> </w:t>
      </w:r>
      <w:r>
        <w:rPr>
          <w:sz w:val="20"/>
        </w:rPr>
        <w:t>February</w:t>
      </w:r>
      <w:r>
        <w:rPr>
          <w:spacing w:val="-4"/>
          <w:sz w:val="20"/>
        </w:rPr>
        <w:t> </w:t>
      </w:r>
      <w:r>
        <w:rPr>
          <w:sz w:val="20"/>
        </w:rPr>
        <w:t>2023,</w:t>
      </w:r>
      <w:r>
        <w:rPr>
          <w:spacing w:val="-5"/>
          <w:sz w:val="20"/>
        </w:rPr>
        <w:t> </w:t>
      </w:r>
      <w:r>
        <w:rPr>
          <w:sz w:val="20"/>
        </w:rPr>
        <w:t>03:13</w:t>
      </w:r>
      <w:r>
        <w:rPr>
          <w:spacing w:val="-5"/>
          <w:sz w:val="20"/>
        </w:rPr>
        <w:t> </w:t>
      </w:r>
      <w:r>
        <w:rPr>
          <w:sz w:val="20"/>
        </w:rPr>
        <w:t>PM</w:t>
      </w:r>
      <w:r>
        <w:rPr>
          <w:spacing w:val="80"/>
          <w:sz w:val="20"/>
        </w:rPr>
        <w:t> </w:t>
      </w:r>
      <w:r>
        <w:rPr>
          <w:sz w:val="20"/>
        </w:rPr>
        <w:t>Eastern</w:t>
      </w:r>
      <w:r>
        <w:rPr>
          <w:spacing w:val="-4"/>
          <w:sz w:val="20"/>
        </w:rPr>
        <w:t> </w:t>
      </w:r>
      <w:r>
        <w:rPr>
          <w:sz w:val="20"/>
        </w:rPr>
        <w:t>Time Meaning: Signing this Document Indicates My Approval</w:t>
      </w:r>
    </w:p>
    <w:p>
      <w:pPr>
        <w:spacing w:before="2"/>
        <w:ind w:left="795" w:right="0" w:firstLine="0"/>
        <w:jc w:val="left"/>
        <w:rPr>
          <w:sz w:val="20"/>
        </w:rPr>
      </w:pPr>
      <w:r>
        <w:rPr>
          <w:spacing w:val="-2"/>
          <w:sz w:val="20"/>
        </w:rPr>
        <w:t>================================================</w:t>
      </w:r>
    </w:p>
    <w:p>
      <w:pPr>
        <w:pStyle w:val="BodyText"/>
      </w:pPr>
    </w:p>
    <w:p>
      <w:pPr>
        <w:pStyle w:val="BodyText"/>
      </w:pPr>
    </w:p>
    <w:p>
      <w:pPr>
        <w:pStyle w:val="BodyText"/>
        <w:spacing w:before="8"/>
        <w:rPr>
          <w:sz w:val="31"/>
        </w:rPr>
      </w:pPr>
    </w:p>
    <w:p>
      <w:pPr>
        <w:spacing w:line="249" w:lineRule="auto" w:before="0"/>
        <w:ind w:left="740" w:right="6478" w:firstLine="0"/>
        <w:jc w:val="left"/>
        <w:rPr>
          <w:sz w:val="20"/>
        </w:rPr>
      </w:pPr>
      <w:r>
        <w:rPr>
          <w:sz w:val="20"/>
        </w:rPr>
        <w:t>UserName:</w:t>
      </w:r>
      <w:r>
        <w:rPr>
          <w:spacing w:val="-11"/>
          <w:sz w:val="20"/>
        </w:rPr>
        <w:t> </w:t>
      </w:r>
      <w:r>
        <w:rPr>
          <w:sz w:val="20"/>
        </w:rPr>
        <w:t>Prior,</w:t>
      </w:r>
      <w:r>
        <w:rPr>
          <w:spacing w:val="-10"/>
          <w:sz w:val="20"/>
        </w:rPr>
        <w:t> </w:t>
      </w:r>
      <w:r>
        <w:rPr>
          <w:sz w:val="20"/>
        </w:rPr>
        <w:t>Lewis</w:t>
      </w:r>
      <w:r>
        <w:rPr>
          <w:spacing w:val="36"/>
          <w:sz w:val="20"/>
        </w:rPr>
        <w:t> </w:t>
      </w:r>
      <w:r>
        <w:rPr>
          <w:sz w:val="20"/>
        </w:rPr>
        <w:t>(lprior) </w:t>
      </w:r>
      <w:r>
        <w:rPr>
          <w:spacing w:val="-2"/>
          <w:sz w:val="20"/>
        </w:rPr>
        <w:t>Title:</w:t>
      </w:r>
    </w:p>
    <w:p>
      <w:pPr>
        <w:spacing w:line="249" w:lineRule="auto" w:before="1"/>
        <w:ind w:left="740" w:right="3586" w:firstLine="0"/>
        <w:jc w:val="left"/>
        <w:rPr>
          <w:sz w:val="20"/>
        </w:rPr>
      </w:pPr>
      <w:r>
        <w:rPr>
          <w:sz w:val="20"/>
        </w:rPr>
        <w:t>Date:</w:t>
      </w:r>
      <w:r>
        <w:rPr>
          <w:spacing w:val="-5"/>
          <w:sz w:val="20"/>
        </w:rPr>
        <w:t> </w:t>
      </w:r>
      <w:r>
        <w:rPr>
          <w:sz w:val="20"/>
        </w:rPr>
        <w:t>Thursday,</w:t>
      </w:r>
      <w:r>
        <w:rPr>
          <w:spacing w:val="-4"/>
          <w:sz w:val="20"/>
        </w:rPr>
        <w:t> </w:t>
      </w:r>
      <w:r>
        <w:rPr>
          <w:sz w:val="20"/>
        </w:rPr>
        <w:t>16</w:t>
      </w:r>
      <w:r>
        <w:rPr>
          <w:spacing w:val="-5"/>
          <w:sz w:val="20"/>
        </w:rPr>
        <w:t> </w:t>
      </w:r>
      <w:r>
        <w:rPr>
          <w:sz w:val="20"/>
        </w:rPr>
        <w:t>February</w:t>
      </w:r>
      <w:r>
        <w:rPr>
          <w:spacing w:val="-4"/>
          <w:sz w:val="20"/>
        </w:rPr>
        <w:t> </w:t>
      </w:r>
      <w:r>
        <w:rPr>
          <w:sz w:val="20"/>
        </w:rPr>
        <w:t>2023,</w:t>
      </w:r>
      <w:r>
        <w:rPr>
          <w:spacing w:val="-5"/>
          <w:sz w:val="20"/>
        </w:rPr>
        <w:t> </w:t>
      </w:r>
      <w:r>
        <w:rPr>
          <w:sz w:val="20"/>
        </w:rPr>
        <w:t>07:32</w:t>
      </w:r>
      <w:r>
        <w:rPr>
          <w:spacing w:val="-5"/>
          <w:sz w:val="20"/>
        </w:rPr>
        <w:t> </w:t>
      </w:r>
      <w:r>
        <w:rPr>
          <w:sz w:val="20"/>
        </w:rPr>
        <w:t>AM</w:t>
      </w:r>
      <w:r>
        <w:rPr>
          <w:spacing w:val="80"/>
          <w:sz w:val="20"/>
        </w:rPr>
        <w:t> </w:t>
      </w:r>
      <w:r>
        <w:rPr>
          <w:sz w:val="20"/>
        </w:rPr>
        <w:t>Eastern</w:t>
      </w:r>
      <w:r>
        <w:rPr>
          <w:spacing w:val="-4"/>
          <w:sz w:val="20"/>
        </w:rPr>
        <w:t> </w:t>
      </w:r>
      <w:r>
        <w:rPr>
          <w:sz w:val="20"/>
        </w:rPr>
        <w:t>Time Meaning: Signing this Document Indicates My Approval</w:t>
      </w:r>
    </w:p>
    <w:p>
      <w:pPr>
        <w:spacing w:before="2"/>
        <w:ind w:left="795" w:right="0" w:firstLine="0"/>
        <w:jc w:val="left"/>
        <w:rPr>
          <w:sz w:val="20"/>
        </w:rPr>
      </w:pPr>
      <w:r>
        <w:rPr>
          <w:spacing w:val="-2"/>
          <w:sz w:val="20"/>
        </w:rPr>
        <w:t>================================================</w:t>
      </w:r>
    </w:p>
    <w:sectPr>
      <w:headerReference w:type="default" r:id="rId11"/>
      <w:footerReference w:type="default" r:id="rId12"/>
      <w:pgSz w:w="12240" w:h="15840"/>
      <w:pgMar w:header="0" w:footer="268" w:top="1360" w:bottom="460" w:left="900" w:right="9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0"/>
    <w:family w:val="roman"/>
    <w:pitch w:val="variable"/>
  </w:font>
  <w:font w:name="Arial">
    <w:altName w:val="Arial"/>
    <w:charset w:val="0"/>
    <w:family w:val="swiss"/>
    <w:pitch w:val="variable"/>
  </w:font>
  <w:font w:name="Trebuchet MS">
    <w:altName w:val="Trebuchet MS"/>
    <w:charset w:val="0"/>
    <w:family w:val="swiss"/>
    <w:pitch w:val="variable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:space="preserve">
  <w:p>
    <w:pPr>
      <w:pStyle w:val="BodyText"/>
      <w:spacing w:line="14" w:lineRule="auto"/>
      <w:rPr>
        <w:sz w:val="20"/>
      </w:rPr>
    </w:pPr>
    <w:r>
      <w:rPr/>
    </w:r>
    <w:r>
      <w:rPr/>
    </w: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:space="preserve">
  <w:p>
    <w:pPr>
      <w:pStyle w:val="BodyText"/>
      <w:spacing w:line="14" w:lineRule="auto"/>
      <w:rPr>
        <w:sz w:val="20"/>
      </w:rPr>
    </w:pPr>
    <w:r>
      <w:rPr/>
    </w:r>
    <w:r>
      <w:rPr/>
    </w:r>
  </w:p>
</w:ftr>
</file>

<file path=word/footer3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:space="preserve">
  <w:p>
    <w:pPr>
      <w:pStyle w:val="BodyText"/>
      <w:spacing w:line="14" w:lineRule="auto"/>
      <w:rPr>
        <w:sz w:val="20"/>
      </w:rPr>
    </w:pPr>
    <w:r>
      <w:rPr/>
    </w:r>
  </w:p>
</w:ftr>
</file>

<file path=word/footer4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:space="preserve">
  <w:p>
    <w:pPr>
      <w:pStyle w:val="BodyText"/>
      <w:spacing w:line="14" w:lineRule="auto"/>
      <w:rPr>
        <w:sz w:val="20"/>
      </w:rPr>
    </w:pPr>
    <w:r>
      <w:rPr/>
    </w:r>
  </w:p>
</w:ftr>
</file>

<file path=word/footer5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6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:space="preserve">
  <w:p>
    <w:pPr>
      <w:pStyle w:val="BodyText"/>
      <w:spacing w:line="14" w:lineRule="auto"/>
      <w:rPr>
        <w:sz w:val="20"/>
      </w:rPr>
    </w:pPr>
    <w:r>
      <w:rPr/>
    </w:r>
    <w:r>
      <w:rPr/>
    </w:r>
  </w:p>
</w:hdr>
</file>

<file path=word/header2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:space="preserve">
  <w:p>
    <w:pPr>
      <w:pStyle w:val="BodyText"/>
      <w:spacing w:line="14" w:lineRule="auto"/>
      <w:rPr>
        <w:sz w:val="20"/>
      </w:rPr>
    </w:pPr>
    <w:r>
      <w:rPr/>
    </w:r>
    <w:r>
      <w:rPr/>
    </w:r>
  </w:p>
</w:hdr>
</file>

<file path=word/header3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:space="preserve">
  <w:p>
    <w:pPr>
      <w:pStyle w:val="BodyText"/>
      <w:spacing w:line="14" w:lineRule="auto"/>
      <w:rPr>
        <w:sz w:val="2"/>
      </w:rPr>
    </w:pPr>
  </w:p>
</w:hdr>
</file>

<file path=word/header4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5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6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multiLevelType w:val="hybridMultilevel"/>
    <w:lvl w:ilvl="0">
      <w:start w:val="1"/>
      <w:numFmt w:val="decimal"/>
      <w:lvlText w:val="%1.0"/>
      <w:lvlJc w:val="left"/>
      <w:pPr>
        <w:ind w:left="1260" w:hanging="720"/>
        <w:jc w:val="left"/>
      </w:pPr>
      <w:rPr>
        <w:rFonts w:hint="default" w:ascii="Arial" w:hAnsi="Arial" w:eastAsia="Arial" w:cs="Arial"/>
        <w:b/>
        <w:bCs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1980" w:hanging="720"/>
        <w:jc w:val="left"/>
      </w:pPr>
      <w:rPr>
        <w:rFonts w:hint="default" w:ascii="Arial" w:hAnsi="Arial" w:eastAsia="Arial" w:cs="Arial"/>
        <w:b/>
        <w:bCs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2">
      <w:start w:val="0"/>
      <w:numFmt w:val="bullet"/>
      <w:lvlText w:val="•"/>
      <w:lvlJc w:val="left"/>
      <w:pPr>
        <w:ind w:left="2913" w:hanging="72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3846" w:hanging="72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4780" w:hanging="72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5713" w:hanging="72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6646" w:hanging="72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7580" w:hanging="72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8513" w:hanging="720"/>
      </w:pPr>
      <w:rPr>
        <w:rFonts w:hint="default"/>
        <w:lang w:val="en-US" w:eastAsia="en-US" w:bidi="ar-SA"/>
      </w:r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rFonts w:ascii="Arial" w:hAnsi="Arial" w:eastAsia="Arial" w:cs="Arial"/>
      <w:lang w:val="en-US" w:eastAsia="en-US" w:bidi="ar-SA"/>
    </w:rPr>
  </w:style>
  <w:style w:styleId="BodyText" w:type="paragraph">
    <w:name w:val="Body Text"/>
    <w:basedOn w:val="Normal"/>
    <w:uiPriority w:val="1"/>
    <w:qFormat/>
    <w:pPr/>
    <w:rPr>
      <w:rFonts w:ascii="Arial" w:hAnsi="Arial" w:eastAsia="Arial" w:cs="Arial"/>
      <w:sz w:val="22"/>
      <w:szCs w:val="22"/>
      <w:lang w:val="en-US" w:eastAsia="en-US" w:bidi="ar-SA"/>
    </w:rPr>
  </w:style>
  <w:style w:styleId="ListParagraph" w:type="paragraph">
    <w:name w:val="List Paragraph"/>
    <w:basedOn w:val="Normal"/>
    <w:uiPriority w:val="1"/>
    <w:qFormat/>
    <w:pPr>
      <w:ind w:left="1260" w:hanging="720"/>
    </w:pPr>
    <w:rPr>
      <w:rFonts w:ascii="Arial" w:hAnsi="Arial" w:eastAsia="Arial" w:cs="Arial"/>
      <w:lang w:val="en-US" w:eastAsia="en-US" w:bidi="ar-SA"/>
    </w:rPr>
  </w:style>
  <w:style w:styleId="TableParagraph" w:type="paragraph">
    <w:name w:val="Table Paragraph"/>
    <w:basedOn w:val="Normal"/>
    <w:uiPriority w:val="1"/>
    <w:qFormat/>
    <w:pPr>
      <w:spacing w:before="42"/>
      <w:ind w:left="109"/>
    </w:pPr>
    <w:rPr>
      <w:rFonts w:ascii="Arial" w:hAnsi="Arial" w:eastAsia="Arial" w:cs="Arial"/>
      <w:lang w:val="en-US" w:eastAsia="en-US" w:bidi="ar-SA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footer" Target="footer1.xml"/><Relationship Id="rId6" Type="http://schemas.openxmlformats.org/officeDocument/2006/relationships/image" Target="media/image1.png"/><Relationship Id="rId7" Type="http://schemas.openxmlformats.org/officeDocument/2006/relationships/header" Target="header1.xml"/><Relationship Id="rId8" Type="http://schemas.openxmlformats.org/officeDocument/2006/relationships/footer" Target="footer2.xml"/><Relationship Id="rId9" Type="http://schemas.openxmlformats.org/officeDocument/2006/relationships/header" Target="header2.xml"/><Relationship Id="rId10" Type="http://schemas.openxmlformats.org/officeDocument/2006/relationships/footer" Target="footer3.xml"/><Relationship Id="rId11" Type="http://schemas.openxmlformats.org/officeDocument/2006/relationships/header" Target="header3.xml"/><Relationship Id="rId12" Type="http://schemas.openxmlformats.org/officeDocument/2006/relationships/footer" Target="footer4.xml"/><Relationship Id="rId13" Type="http://schemas.openxmlformats.org/officeDocument/2006/relationships/image" Target="media/image2.png"/><Relationship Id="rId14" Type="http://schemas.openxmlformats.org/officeDocument/2006/relationships/numbering" Target="numbering.xml"/><Relationship Id="rId15" Type="http://schemas.openxmlformats.org/officeDocument/2006/relationships/header" Target="header4.xml"/><Relationship Id="rId16" Type="http://schemas.openxmlformats.org/officeDocument/2006/relationships/header" Target="header5.xml"/><Relationship Id="rId17" Type="http://schemas.openxmlformats.org/officeDocument/2006/relationships/header" Target="header6.xml"/><Relationship Id="rId18" Type="http://schemas.openxmlformats.org/officeDocument/2006/relationships/footer" Target="footer5.xml"/><Relationship Id="rId19" Type="http://schemas.openxmlformats.org/officeDocument/2006/relationships/footer" Target="footer6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Q608134</dc:creator>
  <dcterms:created xsi:type="dcterms:W3CDTF">2023-04-11T14:49:33Z</dcterms:created>
  <dcterms:modified xsi:type="dcterms:W3CDTF">2023-04-11T14:49:33Z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ligent">
    <vt:lpwstr>StampPDF Batch 7.0.1 Windows Nov 20 2020 Library APDFL15.0.4c</vt:lpwstr>
  </property>
  <property fmtid="{D5CDD505-2E9C-101B-9397-08002B2CF9AE}" pid="3" name="Created">
    <vt:filetime>2023-02-13T00:00:00Z</vt:filetime>
  </property>
  <property fmtid="{D5CDD505-2E9C-101B-9397-08002B2CF9AE}" pid="4" name="Creator">
    <vt:lpwstr>Appligent StampPDF Batch 7.0.1</vt:lpwstr>
  </property>
  <property fmtid="{D5CDD505-2E9C-101B-9397-08002B2CF9AE}" pid="5" name="LastSaved">
    <vt:filetime>2023-04-11T00:00:00Z</vt:filetime>
  </property>
  <property fmtid="{D5CDD505-2E9C-101B-9397-08002B2CF9AE}" pid="6" name="Producer">
    <vt:lpwstr>www.adlibsoftware.com: CTP (6.5.1.103725) OS (Windows 2012,2,0,64)</vt:lpwstr>
  </property>
</Properties>
</file>