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471" w:right="408"/>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473" w:right="408"/>
              <w:jc w:val="center"/>
              <w:rPr>
                <w:b/>
                <w:sz w:val="22"/>
              </w:rPr>
            </w:pPr>
            <w:r>
              <w:rPr>
                <w:b/>
                <w:sz w:val="22"/>
              </w:rPr>
              <w:t>R&amp;DS</w:t>
            </w:r>
            <w:r>
              <w:rPr>
                <w:b/>
                <w:spacing w:val="-8"/>
                <w:sz w:val="22"/>
              </w:rPr>
              <w:t> </w:t>
            </w:r>
            <w:r>
              <w:rPr>
                <w:b/>
                <w:sz w:val="22"/>
              </w:rPr>
              <w:t>IT</w:t>
            </w:r>
            <w:r>
              <w:rPr>
                <w:b/>
                <w:spacing w:val="-7"/>
                <w:sz w:val="22"/>
              </w:rPr>
              <w:t> </w:t>
            </w:r>
            <w:r>
              <w:rPr>
                <w:b/>
                <w:sz w:val="22"/>
              </w:rPr>
              <w:t>Study</w:t>
            </w:r>
            <w:r>
              <w:rPr>
                <w:b/>
                <w:spacing w:val="-9"/>
                <w:sz w:val="22"/>
              </w:rPr>
              <w:t> </w:t>
            </w:r>
            <w:r>
              <w:rPr>
                <w:b/>
                <w:sz w:val="22"/>
              </w:rPr>
              <w:t>Hub</w:t>
            </w:r>
            <w:r>
              <w:rPr>
                <w:b/>
                <w:spacing w:val="-8"/>
                <w:sz w:val="22"/>
              </w:rPr>
              <w:t> </w:t>
            </w:r>
            <w:r>
              <w:rPr>
                <w:b/>
                <w:sz w:val="22"/>
              </w:rPr>
              <w:t>Strategic</w:t>
            </w:r>
            <w:r>
              <w:rPr>
                <w:b/>
                <w:spacing w:val="-7"/>
                <w:sz w:val="22"/>
              </w:rPr>
              <w:t> </w:t>
            </w:r>
            <w:r>
              <w:rPr>
                <w:b/>
                <w:sz w:val="22"/>
              </w:rPr>
              <w:t>Document Approval Process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CS_WI_DCT0007</w:t>
            </w:r>
            <w:r>
              <w:rPr>
                <w:spacing w:val="-12"/>
                <w:sz w:val="20"/>
              </w:rPr>
              <w:t> </w:t>
            </w:r>
            <w:r>
              <w:rPr>
                <w:sz w:val="20"/>
              </w:rPr>
              <w:t>Revision</w:t>
            </w:r>
            <w:r>
              <w:rPr>
                <w:spacing w:val="-11"/>
                <w:sz w:val="20"/>
              </w:rPr>
              <w:t> </w:t>
            </w:r>
            <w:r>
              <w:rPr>
                <w:spacing w:val="-10"/>
                <w:sz w:val="20"/>
              </w:rPr>
              <w:t>1</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Michael</w:t>
            </w:r>
            <w:r>
              <w:rPr>
                <w:spacing w:val="-7"/>
                <w:sz w:val="20"/>
              </w:rPr>
              <w:t> </w:t>
            </w:r>
            <w:r>
              <w:rPr>
                <w:spacing w:val="-2"/>
                <w:sz w:val="20"/>
              </w:rPr>
              <w:t>Hosmer</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Michael</w:t>
            </w:r>
            <w:r>
              <w:rPr>
                <w:spacing w:val="-7"/>
                <w:sz w:val="20"/>
              </w:rPr>
              <w:t> </w:t>
            </w:r>
            <w:r>
              <w:rPr>
                <w:spacing w:val="-2"/>
                <w:sz w:val="20"/>
              </w:rPr>
              <w:t>Hosmer</w:t>
            </w:r>
          </w:p>
        </w:tc>
      </w:tr>
    </w:tbl>
    <w:p>
      <w:pPr>
        <w:pStyle w:val="BodyText"/>
        <w:rPr>
          <w:rFonts w:ascii="Times New Roman"/>
          <w:sz w:val="20"/>
        </w:rPr>
      </w:pPr>
    </w:p>
    <w:p>
      <w:pPr>
        <w:pStyle w:val="BodyText"/>
        <w:spacing w:before="7"/>
        <w:rPr>
          <w:rFonts w:ascii="Times New Roman"/>
          <w:sz w:val="15"/>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PURPOSE" w:id="1"/>
      <w:bookmarkEnd w:id="1"/>
      <w:r>
        <w:rPr>
          <w:b/>
          <w:spacing w:val="-2"/>
          <w:sz w:val="22"/>
        </w:rPr>
        <w:t>PURPOSE</w:t>
      </w:r>
    </w:p>
    <w:p>
      <w:pPr>
        <w:pStyle w:val="BodyText"/>
        <w:spacing w:before="121"/>
        <w:ind w:left="1180" w:right="547"/>
      </w:pPr>
      <w:r>
        <w:rPr/>
        <w:t>The</w:t>
      </w:r>
      <w:r>
        <w:rPr>
          <w:spacing w:val="-3"/>
        </w:rPr>
        <w:t> </w:t>
      </w:r>
      <w:r>
        <w:rPr/>
        <w:t>purpose</w:t>
      </w:r>
      <w:r>
        <w:rPr>
          <w:spacing w:val="-3"/>
        </w:rPr>
        <w:t> </w:t>
      </w:r>
      <w:r>
        <w:rPr/>
        <w:t>of</w:t>
      </w:r>
      <w:r>
        <w:rPr>
          <w:spacing w:val="-3"/>
        </w:rPr>
        <w:t> </w:t>
      </w:r>
      <w:r>
        <w:rPr/>
        <w:t>this</w:t>
      </w:r>
      <w:r>
        <w:rPr>
          <w:spacing w:val="-3"/>
        </w:rPr>
        <w:t> </w:t>
      </w:r>
      <w:r>
        <w:rPr/>
        <w:t>document</w:t>
      </w:r>
      <w:r>
        <w:rPr>
          <w:spacing w:val="-3"/>
        </w:rPr>
        <w:t> </w:t>
      </w:r>
      <w:r>
        <w:rPr/>
        <w:t>is</w:t>
      </w:r>
      <w:r>
        <w:rPr>
          <w:spacing w:val="-3"/>
        </w:rPr>
        <w:t> </w:t>
      </w:r>
      <w:r>
        <w:rPr/>
        <w:t>to</w:t>
      </w:r>
      <w:r>
        <w:rPr>
          <w:spacing w:val="-3"/>
        </w:rPr>
        <w:t> </w:t>
      </w:r>
      <w:r>
        <w:rPr/>
        <w:t>define</w:t>
      </w:r>
      <w:r>
        <w:rPr>
          <w:spacing w:val="-3"/>
        </w:rPr>
        <w:t> </w:t>
      </w:r>
      <w:r>
        <w:rPr/>
        <w:t>the</w:t>
      </w:r>
      <w:r>
        <w:rPr>
          <w:spacing w:val="-3"/>
        </w:rPr>
        <w:t> </w:t>
      </w:r>
      <w:r>
        <w:rPr/>
        <w:t>approval</w:t>
      </w:r>
      <w:r>
        <w:rPr>
          <w:spacing w:val="-3"/>
        </w:rPr>
        <w:t> </w:t>
      </w:r>
      <w:r>
        <w:rPr/>
        <w:t>process</w:t>
      </w:r>
      <w:r>
        <w:rPr>
          <w:spacing w:val="-5"/>
        </w:rPr>
        <w:t> </w:t>
      </w:r>
      <w:r>
        <w:rPr/>
        <w:t>for</w:t>
      </w:r>
      <w:r>
        <w:rPr>
          <w:spacing w:val="-3"/>
        </w:rPr>
        <w:t> </w:t>
      </w:r>
      <w:r>
        <w:rPr/>
        <w:t>IQVIA’s</w:t>
      </w:r>
      <w:r>
        <w:rPr>
          <w:spacing w:val="-3"/>
        </w:rPr>
        <w:t> </w:t>
      </w:r>
      <w:r>
        <w:rPr/>
        <w:t>Research and Development Solutions (R&amp;DS) Information Technology (IT) team</w:t>
      </w:r>
      <w:r>
        <w:rPr>
          <w:spacing w:val="-6"/>
        </w:rPr>
        <w:t> </w:t>
      </w:r>
      <w:r>
        <w:rPr/>
        <w:t>for Study Hub Strategic Documents (e.g., Global Request for Proposal (RFP) responses, Data </w:t>
      </w:r>
      <w:bookmarkStart w:name="SCOPE" w:id="2"/>
      <w:bookmarkEnd w:id="2"/>
      <w:r>
        <w:rPr/>
        <w:t>Protectio</w:t>
      </w:r>
      <w:r>
        <w:rPr/>
        <w:t>n Impact Assessment (DPIA), etc.).</w:t>
      </w:r>
    </w:p>
    <w:p>
      <w:pPr>
        <w:pStyle w:val="BodyText"/>
        <w:spacing w:before="6"/>
        <w:rPr>
          <w:sz w:val="20"/>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r>
        <w:rPr>
          <w:b/>
          <w:spacing w:val="-2"/>
          <w:sz w:val="22"/>
        </w:rPr>
        <w:t>SCOPE</w:t>
      </w:r>
    </w:p>
    <w:p>
      <w:pPr>
        <w:pStyle w:val="BodyText"/>
        <w:spacing w:before="5"/>
        <w:rPr>
          <w:b/>
          <w:sz w:val="21"/>
        </w:rPr>
      </w:pPr>
    </w:p>
    <w:p>
      <w:pPr>
        <w:pStyle w:val="ListParagraph"/>
        <w:numPr>
          <w:ilvl w:val="1"/>
          <w:numId w:val="1"/>
        </w:numPr>
        <w:tabs>
          <w:tab w:pos="1899" w:val="left" w:leader="none"/>
          <w:tab w:pos="1900" w:val="left" w:leader="none"/>
        </w:tabs>
        <w:spacing w:line="240" w:lineRule="auto" w:before="0" w:after="0"/>
        <w:ind w:left="1900" w:right="1351" w:hanging="720"/>
        <w:jc w:val="left"/>
        <w:rPr>
          <w:sz w:val="22"/>
        </w:rPr>
      </w:pPr>
      <w:r>
        <w:rPr>
          <w:sz w:val="22"/>
        </w:rPr>
        <w:t>This</w:t>
      </w:r>
      <w:r>
        <w:rPr>
          <w:spacing w:val="-4"/>
          <w:sz w:val="22"/>
        </w:rPr>
        <w:t> </w:t>
      </w:r>
      <w:r>
        <w:rPr>
          <w:sz w:val="22"/>
        </w:rPr>
        <w:t>work</w:t>
      </w:r>
      <w:r>
        <w:rPr>
          <w:spacing w:val="-4"/>
          <w:sz w:val="22"/>
        </w:rPr>
        <w:t> </w:t>
      </w:r>
      <w:r>
        <w:rPr>
          <w:sz w:val="22"/>
        </w:rPr>
        <w:t>instruction</w:t>
      </w:r>
      <w:r>
        <w:rPr>
          <w:spacing w:val="-4"/>
          <w:sz w:val="22"/>
        </w:rPr>
        <w:t> </w:t>
      </w:r>
      <w:r>
        <w:rPr>
          <w:sz w:val="22"/>
        </w:rPr>
        <w:t>(WI)</w:t>
      </w:r>
      <w:r>
        <w:rPr>
          <w:spacing w:val="-4"/>
          <w:sz w:val="22"/>
        </w:rPr>
        <w:t> </w:t>
      </w:r>
      <w:r>
        <w:rPr>
          <w:sz w:val="22"/>
        </w:rPr>
        <w:t>applies</w:t>
      </w:r>
      <w:r>
        <w:rPr>
          <w:spacing w:val="-5"/>
          <w:sz w:val="22"/>
        </w:rPr>
        <w:t> </w:t>
      </w:r>
      <w:r>
        <w:rPr>
          <w:sz w:val="22"/>
        </w:rPr>
        <w:t>to</w:t>
      </w:r>
      <w:r>
        <w:rPr>
          <w:spacing w:val="-3"/>
          <w:sz w:val="22"/>
        </w:rPr>
        <w:t> </w:t>
      </w:r>
      <w:r>
        <w:rPr>
          <w:sz w:val="22"/>
        </w:rPr>
        <w:t>R&amp;DS</w:t>
      </w:r>
      <w:r>
        <w:rPr>
          <w:spacing w:val="-4"/>
          <w:sz w:val="22"/>
        </w:rPr>
        <w:t> </w:t>
      </w:r>
      <w:r>
        <w:rPr>
          <w:sz w:val="22"/>
        </w:rPr>
        <w:t>IT</w:t>
      </w:r>
      <w:r>
        <w:rPr>
          <w:spacing w:val="-4"/>
          <w:sz w:val="22"/>
        </w:rPr>
        <w:t> </w:t>
      </w:r>
      <w:r>
        <w:rPr>
          <w:sz w:val="22"/>
        </w:rPr>
        <w:t>team’s</w:t>
      </w:r>
      <w:r>
        <w:rPr>
          <w:spacing w:val="-4"/>
          <w:sz w:val="22"/>
        </w:rPr>
        <w:t> </w:t>
      </w:r>
      <w:r>
        <w:rPr>
          <w:sz w:val="22"/>
        </w:rPr>
        <w:t>strategic</w:t>
      </w:r>
      <w:r>
        <w:rPr>
          <w:spacing w:val="-4"/>
          <w:sz w:val="22"/>
        </w:rPr>
        <w:t> </w:t>
      </w:r>
      <w:r>
        <w:rPr>
          <w:sz w:val="22"/>
        </w:rPr>
        <w:t>document approval for Study Hub.</w:t>
      </w:r>
    </w:p>
    <w:p>
      <w:pPr>
        <w:pStyle w:val="BodyText"/>
        <w:spacing w:before="3"/>
        <w:rPr>
          <w:sz w:val="20"/>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ROLES AND RESPONSIBILITIES" w:id="3"/>
      <w:bookmarkEnd w:id="3"/>
      <w:r>
        <w:rPr>
          <w:b/>
          <w:sz w:val="22"/>
        </w:rPr>
        <w:t>ROLE</w:t>
      </w:r>
      <w:r>
        <w:rPr>
          <w:b/>
          <w:sz w:val="22"/>
        </w:rPr>
        <w:t>S</w:t>
      </w:r>
      <w:r>
        <w:rPr>
          <w:b/>
          <w:spacing w:val="-5"/>
          <w:sz w:val="22"/>
        </w:rPr>
        <w:t> </w:t>
      </w:r>
      <w:r>
        <w:rPr>
          <w:b/>
          <w:sz w:val="22"/>
        </w:rPr>
        <w:t>AND</w:t>
      </w:r>
      <w:r>
        <w:rPr>
          <w:b/>
          <w:spacing w:val="-5"/>
          <w:sz w:val="22"/>
        </w:rPr>
        <w:t> </w:t>
      </w:r>
      <w:r>
        <w:rPr>
          <w:b/>
          <w:spacing w:val="-2"/>
          <w:sz w:val="22"/>
        </w:rPr>
        <w:t>RESPONSIBILITIES</w:t>
      </w:r>
    </w:p>
    <w:p>
      <w:pPr>
        <w:pStyle w:val="BodyText"/>
        <w:spacing w:before="127"/>
        <w:ind w:left="1180"/>
      </w:pPr>
      <w:r>
        <w:rPr/>
        <w:t>The</w:t>
      </w:r>
      <w:r>
        <w:rPr>
          <w:spacing w:val="-9"/>
        </w:rPr>
        <w:t> </w:t>
      </w:r>
      <w:r>
        <w:rPr/>
        <w:t>following</w:t>
      </w:r>
      <w:r>
        <w:rPr>
          <w:spacing w:val="-6"/>
        </w:rPr>
        <w:t> </w:t>
      </w:r>
      <w:r>
        <w:rPr/>
        <w:t>roles</w:t>
      </w:r>
      <w:r>
        <w:rPr>
          <w:spacing w:val="-7"/>
        </w:rPr>
        <w:t> </w:t>
      </w:r>
      <w:r>
        <w:rPr/>
        <w:t>perform</w:t>
      </w:r>
      <w:r>
        <w:rPr>
          <w:spacing w:val="-6"/>
        </w:rPr>
        <w:t> </w:t>
      </w:r>
      <w:r>
        <w:rPr/>
        <w:t>tasks</w:t>
      </w:r>
      <w:r>
        <w:rPr>
          <w:spacing w:val="-6"/>
        </w:rPr>
        <w:t> </w:t>
      </w:r>
      <w:r>
        <w:rPr/>
        <w:t>described</w:t>
      </w:r>
      <w:r>
        <w:rPr>
          <w:spacing w:val="-7"/>
        </w:rPr>
        <w:t> </w:t>
      </w:r>
      <w:r>
        <w:rPr/>
        <w:t>within</w:t>
      </w:r>
      <w:r>
        <w:rPr>
          <w:spacing w:val="-6"/>
        </w:rPr>
        <w:t> </w:t>
      </w:r>
      <w:r>
        <w:rPr/>
        <w:t>this</w:t>
      </w:r>
      <w:r>
        <w:rPr>
          <w:spacing w:val="-13"/>
        </w:rPr>
        <w:t> </w:t>
      </w:r>
      <w:r>
        <w:rPr>
          <w:spacing w:val="-5"/>
        </w:rPr>
        <w:t>WI:</w:t>
      </w:r>
    </w:p>
    <w:p>
      <w:pPr>
        <w:pStyle w:val="BodyText"/>
        <w:spacing w:before="6"/>
        <w:rPr>
          <w:sz w:val="10"/>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5"/>
        <w:gridCol w:w="3413"/>
      </w:tblGrid>
      <w:tr>
        <w:trPr>
          <w:trHeight w:val="330" w:hRule="atLeast"/>
        </w:trPr>
        <w:tc>
          <w:tcPr>
            <w:tcW w:w="5395" w:type="dxa"/>
            <w:shd w:val="clear" w:color="auto" w:fill="D9D9D9"/>
          </w:tcPr>
          <w:p>
            <w:pPr>
              <w:pStyle w:val="TableParagraph"/>
              <w:spacing w:before="33"/>
              <w:rPr>
                <w:b/>
                <w:sz w:val="22"/>
              </w:rPr>
            </w:pPr>
            <w:r>
              <w:rPr>
                <w:b/>
                <w:spacing w:val="-4"/>
                <w:sz w:val="22"/>
              </w:rPr>
              <w:t>Role</w:t>
            </w:r>
          </w:p>
        </w:tc>
        <w:tc>
          <w:tcPr>
            <w:tcW w:w="3413" w:type="dxa"/>
            <w:shd w:val="clear" w:color="auto" w:fill="D9D9D9"/>
          </w:tcPr>
          <w:p>
            <w:pPr>
              <w:pStyle w:val="TableParagraph"/>
              <w:spacing w:before="33"/>
              <w:rPr>
                <w:b/>
                <w:sz w:val="22"/>
              </w:rPr>
            </w:pPr>
            <w:r>
              <w:rPr>
                <w:b/>
                <w:spacing w:val="-2"/>
                <w:sz w:val="22"/>
              </w:rPr>
              <w:t>Sections</w:t>
            </w:r>
          </w:p>
        </w:tc>
      </w:tr>
      <w:tr>
        <w:trPr>
          <w:trHeight w:val="335" w:hRule="atLeast"/>
        </w:trPr>
        <w:tc>
          <w:tcPr>
            <w:tcW w:w="5395" w:type="dxa"/>
          </w:tcPr>
          <w:p>
            <w:pPr>
              <w:pStyle w:val="TableParagraph"/>
              <w:spacing w:before="38"/>
              <w:rPr>
                <w:sz w:val="22"/>
              </w:rPr>
            </w:pPr>
            <w:r>
              <w:rPr>
                <w:sz w:val="22"/>
              </w:rPr>
              <w:t>Document</w:t>
            </w:r>
            <w:r>
              <w:rPr>
                <w:spacing w:val="-7"/>
                <w:sz w:val="22"/>
              </w:rPr>
              <w:t> </w:t>
            </w:r>
            <w:r>
              <w:rPr>
                <w:sz w:val="22"/>
              </w:rPr>
              <w:t>Owner</w:t>
            </w:r>
            <w:r>
              <w:rPr>
                <w:spacing w:val="-6"/>
                <w:sz w:val="22"/>
              </w:rPr>
              <w:t> </w:t>
            </w:r>
            <w:r>
              <w:rPr>
                <w:spacing w:val="-4"/>
                <w:sz w:val="22"/>
              </w:rPr>
              <w:t>(DO)</w:t>
            </w:r>
          </w:p>
        </w:tc>
        <w:tc>
          <w:tcPr>
            <w:tcW w:w="3413" w:type="dxa"/>
          </w:tcPr>
          <w:p>
            <w:pPr>
              <w:pStyle w:val="TableParagraph"/>
              <w:spacing w:before="38"/>
              <w:rPr>
                <w:sz w:val="22"/>
              </w:rPr>
            </w:pPr>
            <w:r>
              <w:rPr>
                <w:spacing w:val="-5"/>
                <w:sz w:val="22"/>
              </w:rPr>
              <w:t>6.1</w:t>
            </w:r>
          </w:p>
        </w:tc>
      </w:tr>
      <w:tr>
        <w:trPr>
          <w:trHeight w:val="585" w:hRule="atLeast"/>
        </w:trPr>
        <w:tc>
          <w:tcPr>
            <w:tcW w:w="5395" w:type="dxa"/>
          </w:tcPr>
          <w:p>
            <w:pPr>
              <w:pStyle w:val="TableParagraph"/>
              <w:spacing w:before="38"/>
              <w:rPr>
                <w:sz w:val="22"/>
              </w:rPr>
            </w:pPr>
            <w:r>
              <w:rPr>
                <w:sz w:val="22"/>
              </w:rPr>
              <w:t>Study</w:t>
            </w:r>
            <w:r>
              <w:rPr>
                <w:spacing w:val="-6"/>
                <w:sz w:val="22"/>
              </w:rPr>
              <w:t> </w:t>
            </w:r>
            <w:r>
              <w:rPr>
                <w:sz w:val="22"/>
              </w:rPr>
              <w:t>Hub</w:t>
            </w:r>
            <w:r>
              <w:rPr>
                <w:spacing w:val="-6"/>
                <w:sz w:val="22"/>
              </w:rPr>
              <w:t> </w:t>
            </w:r>
            <w:r>
              <w:rPr>
                <w:sz w:val="22"/>
              </w:rPr>
              <w:t>Business</w:t>
            </w:r>
            <w:r>
              <w:rPr>
                <w:spacing w:val="-6"/>
                <w:sz w:val="22"/>
              </w:rPr>
              <w:t> </w:t>
            </w:r>
            <w:r>
              <w:rPr>
                <w:sz w:val="22"/>
              </w:rPr>
              <w:t>Solution</w:t>
            </w:r>
            <w:r>
              <w:rPr>
                <w:spacing w:val="-6"/>
                <w:sz w:val="22"/>
              </w:rPr>
              <w:t> </w:t>
            </w:r>
            <w:r>
              <w:rPr>
                <w:sz w:val="22"/>
              </w:rPr>
              <w:t>Lead</w:t>
            </w:r>
            <w:r>
              <w:rPr>
                <w:spacing w:val="-6"/>
                <w:sz w:val="22"/>
              </w:rPr>
              <w:t> </w:t>
            </w:r>
            <w:r>
              <w:rPr>
                <w:sz w:val="22"/>
              </w:rPr>
              <w:t>(SHBSL)</w:t>
            </w:r>
            <w:r>
              <w:rPr>
                <w:spacing w:val="-5"/>
                <w:sz w:val="22"/>
              </w:rPr>
              <w:t> </w:t>
            </w:r>
            <w:r>
              <w:rPr>
                <w:sz w:val="22"/>
              </w:rPr>
              <w:t>- Typically, Senior Director, IT</w:t>
            </w:r>
          </w:p>
        </w:tc>
        <w:tc>
          <w:tcPr>
            <w:tcW w:w="3413" w:type="dxa"/>
          </w:tcPr>
          <w:p>
            <w:pPr>
              <w:pStyle w:val="TableParagraph"/>
              <w:spacing w:before="38"/>
              <w:rPr>
                <w:sz w:val="22"/>
              </w:rPr>
            </w:pPr>
            <w:r>
              <w:rPr>
                <w:spacing w:val="-5"/>
                <w:sz w:val="22"/>
              </w:rPr>
              <w:t>6.1</w:t>
            </w:r>
          </w:p>
        </w:tc>
      </w:tr>
      <w:tr>
        <w:trPr>
          <w:trHeight w:val="585" w:hRule="atLeast"/>
        </w:trPr>
        <w:tc>
          <w:tcPr>
            <w:tcW w:w="5395" w:type="dxa"/>
          </w:tcPr>
          <w:p>
            <w:pPr>
              <w:pStyle w:val="TableParagraph"/>
              <w:spacing w:before="38"/>
              <w:ind w:right="152"/>
              <w:rPr>
                <w:sz w:val="22"/>
              </w:rPr>
            </w:pPr>
            <w:r>
              <w:rPr>
                <w:sz w:val="22"/>
              </w:rPr>
              <w:t>M1 – Direct Manager – manager 1 level up. Typically,</w:t>
            </w:r>
            <w:r>
              <w:rPr>
                <w:spacing w:val="-5"/>
                <w:sz w:val="22"/>
              </w:rPr>
              <w:t> </w:t>
            </w:r>
            <w:r>
              <w:rPr>
                <w:sz w:val="22"/>
              </w:rPr>
              <w:t>R&amp;DS</w:t>
            </w:r>
            <w:r>
              <w:rPr>
                <w:spacing w:val="-5"/>
                <w:sz w:val="22"/>
              </w:rPr>
              <w:t> </w:t>
            </w:r>
            <w:r>
              <w:rPr>
                <w:sz w:val="22"/>
              </w:rPr>
              <w:t>IT</w:t>
            </w:r>
            <w:r>
              <w:rPr>
                <w:spacing w:val="-5"/>
                <w:sz w:val="22"/>
              </w:rPr>
              <w:t> </w:t>
            </w:r>
            <w:r>
              <w:rPr>
                <w:sz w:val="22"/>
              </w:rPr>
              <w:t>Leader</w:t>
            </w:r>
            <w:r>
              <w:rPr>
                <w:spacing w:val="-9"/>
                <w:sz w:val="22"/>
              </w:rPr>
              <w:t> </w:t>
            </w:r>
            <w:r>
              <w:rPr>
                <w:sz w:val="22"/>
              </w:rPr>
              <w:t>–</w:t>
            </w:r>
            <w:r>
              <w:rPr>
                <w:spacing w:val="-6"/>
                <w:sz w:val="22"/>
              </w:rPr>
              <w:t> </w:t>
            </w:r>
            <w:r>
              <w:rPr>
                <w:sz w:val="22"/>
              </w:rPr>
              <w:t>Vice</w:t>
            </w:r>
            <w:r>
              <w:rPr>
                <w:spacing w:val="-5"/>
                <w:sz w:val="22"/>
              </w:rPr>
              <w:t> </w:t>
            </w:r>
            <w:r>
              <w:rPr>
                <w:sz w:val="22"/>
              </w:rPr>
              <w:t>President,</w:t>
            </w:r>
            <w:r>
              <w:rPr>
                <w:spacing w:val="-5"/>
                <w:sz w:val="22"/>
              </w:rPr>
              <w:t> </w:t>
            </w:r>
            <w:r>
              <w:rPr>
                <w:sz w:val="22"/>
              </w:rPr>
              <w:t>IT</w:t>
            </w:r>
          </w:p>
        </w:tc>
        <w:tc>
          <w:tcPr>
            <w:tcW w:w="3413" w:type="dxa"/>
          </w:tcPr>
          <w:p>
            <w:pPr>
              <w:pStyle w:val="TableParagraph"/>
              <w:spacing w:before="38"/>
              <w:rPr>
                <w:sz w:val="22"/>
              </w:rPr>
            </w:pPr>
            <w:r>
              <w:rPr>
                <w:spacing w:val="-5"/>
                <w:sz w:val="22"/>
              </w:rPr>
              <w:t>6.1</w:t>
            </w:r>
          </w:p>
        </w:tc>
      </w:tr>
      <w:tr>
        <w:trPr>
          <w:trHeight w:val="839" w:hRule="atLeast"/>
        </w:trPr>
        <w:tc>
          <w:tcPr>
            <w:tcW w:w="5395" w:type="dxa"/>
          </w:tcPr>
          <w:p>
            <w:pPr>
              <w:pStyle w:val="TableParagraph"/>
              <w:spacing w:before="38"/>
              <w:ind w:right="152"/>
              <w:rPr>
                <w:sz w:val="22"/>
              </w:rPr>
            </w:pPr>
            <w:r>
              <w:rPr>
                <w:sz w:val="22"/>
              </w:rPr>
              <w:t>M2</w:t>
            </w:r>
            <w:r>
              <w:rPr>
                <w:spacing w:val="-6"/>
                <w:sz w:val="22"/>
              </w:rPr>
              <w:t> </w:t>
            </w:r>
            <w:r>
              <w:rPr>
                <w:sz w:val="22"/>
              </w:rPr>
              <w:t>–</w:t>
            </w:r>
            <w:r>
              <w:rPr>
                <w:spacing w:val="-2"/>
                <w:sz w:val="22"/>
              </w:rPr>
              <w:t> </w:t>
            </w:r>
            <w:r>
              <w:rPr>
                <w:sz w:val="22"/>
              </w:rPr>
              <w:t>Manager’s</w:t>
            </w:r>
            <w:r>
              <w:rPr>
                <w:spacing w:val="-6"/>
                <w:sz w:val="22"/>
              </w:rPr>
              <w:t> </w:t>
            </w:r>
            <w:r>
              <w:rPr>
                <w:sz w:val="22"/>
              </w:rPr>
              <w:t>manager</w:t>
            </w:r>
            <w:r>
              <w:rPr>
                <w:spacing w:val="-8"/>
                <w:sz w:val="22"/>
              </w:rPr>
              <w:t> </w:t>
            </w:r>
            <w:r>
              <w:rPr>
                <w:sz w:val="22"/>
              </w:rPr>
              <w:t>–</w:t>
            </w:r>
            <w:r>
              <w:rPr>
                <w:spacing w:val="-2"/>
                <w:sz w:val="22"/>
              </w:rPr>
              <w:t> </w:t>
            </w:r>
            <w:r>
              <w:rPr>
                <w:sz w:val="22"/>
              </w:rPr>
              <w:t>manager</w:t>
            </w:r>
            <w:r>
              <w:rPr>
                <w:spacing w:val="-7"/>
                <w:sz w:val="22"/>
              </w:rPr>
              <w:t> </w:t>
            </w:r>
            <w:r>
              <w:rPr>
                <w:sz w:val="22"/>
              </w:rPr>
              <w:t>2</w:t>
            </w:r>
            <w:r>
              <w:rPr>
                <w:spacing w:val="-7"/>
                <w:sz w:val="22"/>
              </w:rPr>
              <w:t> </w:t>
            </w:r>
            <w:r>
              <w:rPr>
                <w:sz w:val="22"/>
              </w:rPr>
              <w:t>levels</w:t>
            </w:r>
            <w:r>
              <w:rPr>
                <w:spacing w:val="-7"/>
                <w:sz w:val="22"/>
              </w:rPr>
              <w:t> </w:t>
            </w:r>
            <w:r>
              <w:rPr>
                <w:sz w:val="22"/>
              </w:rPr>
              <w:t>up. Typically, R&amp;DS Tech Leader – Senior Vice President, IT</w:t>
            </w:r>
          </w:p>
        </w:tc>
        <w:tc>
          <w:tcPr>
            <w:tcW w:w="3413" w:type="dxa"/>
          </w:tcPr>
          <w:p>
            <w:pPr>
              <w:pStyle w:val="TableParagraph"/>
              <w:spacing w:before="38"/>
              <w:rPr>
                <w:sz w:val="22"/>
              </w:rPr>
            </w:pPr>
            <w:r>
              <w:rPr>
                <w:spacing w:val="-5"/>
                <w:sz w:val="22"/>
              </w:rPr>
              <w:t>6.1</w:t>
            </w:r>
          </w:p>
        </w:tc>
      </w:tr>
    </w:tbl>
    <w:p>
      <w:pPr>
        <w:pStyle w:val="BodyText"/>
        <w:spacing w:before="7"/>
        <w:rPr>
          <w:sz w:val="20"/>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DEFINITIONS" w:id="4"/>
      <w:bookmarkEnd w:id="4"/>
      <w:r>
        <w:rPr>
          <w:b/>
          <w:spacing w:val="-2"/>
          <w:sz w:val="22"/>
        </w:rPr>
        <w:t>DEFINITIONS</w:t>
      </w:r>
    </w:p>
    <w:p>
      <w:pPr>
        <w:pStyle w:val="BodyText"/>
        <w:rPr>
          <w:b/>
          <w:sz w:val="21"/>
        </w:rPr>
      </w:pPr>
    </w:p>
    <w:p>
      <w:pPr>
        <w:pStyle w:val="BodyText"/>
        <w:ind w:left="1180" w:right="547"/>
      </w:pPr>
      <w:bookmarkStart w:name="Decentralized Clinical Trial (DCT): A pa" w:id="5"/>
      <w:bookmarkEnd w:id="5"/>
      <w:r>
        <w:rPr/>
      </w:r>
      <w:r>
        <w:rPr>
          <w:b/>
        </w:rPr>
        <w:t>Decentralized Clinical Trial (DCT)</w:t>
      </w:r>
      <w:r>
        <w:rPr/>
        <w:t>: A participant centric clinical research model designed</w:t>
      </w:r>
      <w:r>
        <w:rPr>
          <w:spacing w:val="-4"/>
        </w:rPr>
        <w:t> </w:t>
      </w:r>
      <w:r>
        <w:rPr/>
        <w:t>to</w:t>
      </w:r>
      <w:r>
        <w:rPr>
          <w:spacing w:val="-4"/>
        </w:rPr>
        <w:t> </w:t>
      </w:r>
      <w:r>
        <w:rPr/>
        <w:t>allow</w:t>
      </w:r>
      <w:r>
        <w:rPr>
          <w:spacing w:val="-4"/>
        </w:rPr>
        <w:t> </w:t>
      </w:r>
      <w:r>
        <w:rPr/>
        <w:t>a</w:t>
      </w:r>
      <w:r>
        <w:rPr>
          <w:spacing w:val="-4"/>
        </w:rPr>
        <w:t> </w:t>
      </w:r>
      <w:r>
        <w:rPr/>
        <w:t>participation in</w:t>
      </w:r>
      <w:r>
        <w:rPr>
          <w:spacing w:val="-4"/>
        </w:rPr>
        <w:t> </w:t>
      </w:r>
      <w:r>
        <w:rPr/>
        <w:t>clinical</w:t>
      </w:r>
      <w:r>
        <w:rPr>
          <w:spacing w:val="-4"/>
        </w:rPr>
        <w:t> </w:t>
      </w:r>
      <w:r>
        <w:rPr/>
        <w:t>research</w:t>
      </w:r>
      <w:r>
        <w:rPr>
          <w:spacing w:val="-4"/>
        </w:rPr>
        <w:t> </w:t>
      </w:r>
      <w:r>
        <w:rPr/>
        <w:t>from</w:t>
      </w:r>
      <w:r>
        <w:rPr>
          <w:spacing w:val="-4"/>
        </w:rPr>
        <w:t> </w:t>
      </w:r>
      <w:r>
        <w:rPr/>
        <w:t>home</w:t>
      </w:r>
      <w:r>
        <w:rPr>
          <w:spacing w:val="-4"/>
        </w:rPr>
        <w:t> </w:t>
      </w:r>
      <w:r>
        <w:rPr/>
        <w:t>or</w:t>
      </w:r>
      <w:r>
        <w:rPr>
          <w:spacing w:val="-4"/>
        </w:rPr>
        <w:t> </w:t>
      </w:r>
      <w:r>
        <w:rPr/>
        <w:t>local</w:t>
      </w:r>
      <w:r>
        <w:rPr>
          <w:spacing w:val="-4"/>
        </w:rPr>
        <w:t> </w:t>
      </w:r>
      <w:r>
        <w:rPr/>
        <w:t>community, utilizing IQVIA’s DCT Technology Platform. DCTs offer an opportunity to access 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9"/>
        </w:rPr>
      </w:pPr>
      <w:r>
        <w:rPr/>
      </w:r>
    </w:p>
    <w:p>
      <w:pPr>
        <w:spacing w:line="183" w:lineRule="exact" w:before="22"/>
        <w:ind w:left="473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3</w:t>
      </w:r>
    </w:p>
    <w:p>
      <w:pPr>
        <w:spacing w:before="0"/>
        <w:ind w:left="460" w:right="547" w:firstLine="0"/>
        <w:jc w:val="left"/>
        <w:rPr>
          <w:sz w:val="16"/>
        </w:rPr>
      </w:pPr>
      <w:r>
        <w:rPr>
          <w:sz w:val="16"/>
        </w:rPr>
        <w:t>Copyright</w:t>
      </w:r>
      <w:r>
        <w:rPr>
          <w:spacing w:val="-2"/>
          <w:sz w:val="16"/>
        </w:rPr>
        <w:t> </w:t>
      </w:r>
      <w:r>
        <w:rPr>
          <w:sz w:val="16"/>
        </w:rPr>
        <w:t>©</w:t>
      </w:r>
      <w:r>
        <w:rPr>
          <w:spacing w:val="-2"/>
          <w:sz w:val="16"/>
        </w:rPr>
        <w:t> </w:t>
      </w:r>
      <w:r>
        <w:rPr>
          <w:sz w:val="16"/>
        </w:rPr>
        <w:t>2021</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jc w:val="left"/>
        <w:rPr>
          <w:sz w:val="16"/>
        </w:rPr>
        <w:sectPr>
          <w:footerReference w:type="default" r:id="rId5"/>
          <w:headerReference w:type="default" r:id="rId15"/>
          <w:headerReference w:type="first" r:id="rId16"/>
          <w:headerReference w:type="even" r:id="rId17"/>
          <w:footerReference w:type="first" r:id="rId18"/>
          <w:footerReference w:type="even" r:id="rId19"/>
          <w:type w:val="continuous"/>
          <w:pgSz w:w="12240" w:h="15840"/>
          <w:pgMar w:footer="268" w:header="0" w:top="960" w:bottom="460" w:left="980" w:right="960"/>
          <w:pgNumType w:start="1"/>
        </w:sectPr>
      </w:pPr>
    </w:p>
    <w:p>
      <w:pPr>
        <w:pStyle w:val="BodyText"/>
        <w:spacing w:before="11"/>
        <w:rPr>
          <w:sz w:val="13"/>
        </w:rPr>
      </w:pPr>
    </w:p>
    <w:p>
      <w:pPr>
        <w:pStyle w:val="BodyText"/>
        <w:spacing w:before="94"/>
        <w:ind w:left="1179" w:right="547"/>
      </w:pPr>
      <w:r>
        <w:rPr/>
        <w:t>broader</w:t>
      </w:r>
      <w:r>
        <w:rPr>
          <w:spacing w:val="-4"/>
        </w:rPr>
        <w:t> </w:t>
      </w:r>
      <w:r>
        <w:rPr/>
        <w:t>more</w:t>
      </w:r>
      <w:r>
        <w:rPr>
          <w:spacing w:val="-4"/>
        </w:rPr>
        <w:t> </w:t>
      </w:r>
      <w:r>
        <w:rPr/>
        <w:t>diverse</w:t>
      </w:r>
      <w:r>
        <w:rPr>
          <w:spacing w:val="-2"/>
        </w:rPr>
        <w:t> </w:t>
      </w:r>
      <w:r>
        <w:rPr/>
        <w:t>participant</w:t>
      </w:r>
      <w:r>
        <w:rPr>
          <w:spacing w:val="-2"/>
        </w:rPr>
        <w:t> </w:t>
      </w:r>
      <w:r>
        <w:rPr/>
        <w:t>population</w:t>
      </w:r>
      <w:r>
        <w:rPr>
          <w:spacing w:val="-4"/>
        </w:rPr>
        <w:t> </w:t>
      </w:r>
      <w:r>
        <w:rPr/>
        <w:t>and</w:t>
      </w:r>
      <w:r>
        <w:rPr>
          <w:spacing w:val="-4"/>
        </w:rPr>
        <w:t> </w:t>
      </w:r>
      <w:r>
        <w:rPr/>
        <w:t>decrease</w:t>
      </w:r>
      <w:r>
        <w:rPr>
          <w:spacing w:val="-4"/>
        </w:rPr>
        <w:t> </w:t>
      </w:r>
      <w:r>
        <w:rPr/>
        <w:t>burden</w:t>
      </w:r>
      <w:r>
        <w:rPr>
          <w:spacing w:val="-4"/>
        </w:rPr>
        <w:t> </w:t>
      </w:r>
      <w:r>
        <w:rPr/>
        <w:t>on</w:t>
      </w:r>
      <w:r>
        <w:rPr>
          <w:spacing w:val="-6"/>
        </w:rPr>
        <w:t> </w:t>
      </w:r>
      <w:r>
        <w:rPr/>
        <w:t>participants</w:t>
      </w:r>
      <w:r>
        <w:rPr>
          <w:spacing w:val="-7"/>
        </w:rPr>
        <w:t> </w:t>
      </w:r>
      <w:r>
        <w:rPr/>
        <w:t>and </w:t>
      </w:r>
      <w:bookmarkStart w:name="DPIA: a document that meets the requirem" w:id="6"/>
      <w:bookmarkEnd w:id="6"/>
      <w:r>
        <w:rPr/>
        <w:t>investigato</w:t>
      </w:r>
      <w:r>
        <w:rPr/>
        <w:t>r sites.</w:t>
      </w:r>
    </w:p>
    <w:p>
      <w:pPr>
        <w:pStyle w:val="BodyText"/>
        <w:spacing w:before="8"/>
        <w:rPr>
          <w:sz w:val="20"/>
        </w:rPr>
      </w:pPr>
    </w:p>
    <w:p>
      <w:pPr>
        <w:pStyle w:val="BodyText"/>
        <w:ind w:left="1179" w:right="1461"/>
        <w:jc w:val="both"/>
      </w:pPr>
      <w:r>
        <w:rPr>
          <w:b/>
        </w:rPr>
        <w:t>DPIA</w:t>
      </w:r>
      <w:r>
        <w:rPr/>
        <w:t>: a document</w:t>
      </w:r>
      <w:r>
        <w:rPr>
          <w:spacing w:val="-2"/>
        </w:rPr>
        <w:t> </w:t>
      </w:r>
      <w:r>
        <w:rPr/>
        <w:t>that</w:t>
      </w:r>
      <w:r>
        <w:rPr>
          <w:spacing w:val="-2"/>
        </w:rPr>
        <w:t> </w:t>
      </w:r>
      <w:r>
        <w:rPr/>
        <w:t>meets</w:t>
      </w:r>
      <w:r>
        <w:rPr>
          <w:spacing w:val="-2"/>
        </w:rPr>
        <w:t> </w:t>
      </w:r>
      <w:r>
        <w:rPr/>
        <w:t>the</w:t>
      </w:r>
      <w:r>
        <w:rPr>
          <w:spacing w:val="-1"/>
        </w:rPr>
        <w:t> </w:t>
      </w:r>
      <w:r>
        <w:rPr/>
        <w:t>requirement</w:t>
      </w:r>
      <w:r>
        <w:rPr>
          <w:spacing w:val="-2"/>
        </w:rPr>
        <w:t> </w:t>
      </w:r>
      <w:r>
        <w:rPr/>
        <w:t>from</w:t>
      </w:r>
      <w:r>
        <w:rPr>
          <w:spacing w:val="-2"/>
        </w:rPr>
        <w:t> </w:t>
      </w:r>
      <w:r>
        <w:rPr/>
        <w:t>the</w:t>
      </w:r>
      <w:r>
        <w:rPr>
          <w:spacing w:val="-2"/>
        </w:rPr>
        <w:t> </w:t>
      </w:r>
      <w:r>
        <w:rPr/>
        <w:t>Global</w:t>
      </w:r>
      <w:r>
        <w:rPr>
          <w:spacing w:val="-2"/>
        </w:rPr>
        <w:t> </w:t>
      </w:r>
      <w:r>
        <w:rPr/>
        <w:t>Data</w:t>
      </w:r>
      <w:r>
        <w:rPr>
          <w:spacing w:val="-2"/>
        </w:rPr>
        <w:t> </w:t>
      </w:r>
      <w:r>
        <w:rPr/>
        <w:t>Protection Regulation</w:t>
      </w:r>
      <w:r>
        <w:rPr>
          <w:spacing w:val="-4"/>
        </w:rPr>
        <w:t> </w:t>
      </w:r>
      <w:r>
        <w:rPr/>
        <w:t>(GDPR)</w:t>
      </w:r>
      <w:r>
        <w:rPr>
          <w:spacing w:val="-4"/>
        </w:rPr>
        <w:t> </w:t>
      </w:r>
      <w:r>
        <w:rPr/>
        <w:t>Article</w:t>
      </w:r>
      <w:r>
        <w:rPr>
          <w:spacing w:val="-4"/>
        </w:rPr>
        <w:t> </w:t>
      </w:r>
      <w:r>
        <w:rPr/>
        <w:t>35,</w:t>
      </w:r>
      <w:r>
        <w:rPr>
          <w:spacing w:val="-4"/>
        </w:rPr>
        <w:t> </w:t>
      </w:r>
      <w:r>
        <w:rPr/>
        <w:t>to</w:t>
      </w:r>
      <w:r>
        <w:rPr>
          <w:spacing w:val="-4"/>
        </w:rPr>
        <w:t> </w:t>
      </w:r>
      <w:r>
        <w:rPr/>
        <w:t>assess</w:t>
      </w:r>
      <w:r>
        <w:rPr>
          <w:spacing w:val="-4"/>
        </w:rPr>
        <w:t> </w:t>
      </w:r>
      <w:r>
        <w:rPr/>
        <w:t>the</w:t>
      </w:r>
      <w:r>
        <w:rPr>
          <w:spacing w:val="-4"/>
        </w:rPr>
        <w:t> </w:t>
      </w:r>
      <w:r>
        <w:rPr/>
        <w:t>impact</w:t>
      </w:r>
      <w:r>
        <w:rPr>
          <w:spacing w:val="-4"/>
        </w:rPr>
        <w:t> </w:t>
      </w:r>
      <w:r>
        <w:rPr/>
        <w:t>to</w:t>
      </w:r>
      <w:r>
        <w:rPr>
          <w:spacing w:val="-4"/>
        </w:rPr>
        <w:t> </w:t>
      </w:r>
      <w:r>
        <w:rPr/>
        <w:t>data</w:t>
      </w:r>
      <w:r>
        <w:rPr>
          <w:spacing w:val="-4"/>
        </w:rPr>
        <w:t> </w:t>
      </w:r>
      <w:r>
        <w:rPr/>
        <w:t>protection</w:t>
      </w:r>
      <w:r>
        <w:rPr>
          <w:spacing w:val="-2"/>
        </w:rPr>
        <w:t> </w:t>
      </w:r>
      <w:r>
        <w:rPr/>
        <w:t>any</w:t>
      </w:r>
      <w:r>
        <w:rPr>
          <w:spacing w:val="-4"/>
        </w:rPr>
        <w:t> </w:t>
      </w:r>
      <w:r>
        <w:rPr/>
        <w:t>time processing is likely to result in a high risk to the rights of individuals.</w:t>
      </w:r>
    </w:p>
    <w:p>
      <w:pPr>
        <w:pStyle w:val="BodyText"/>
        <w:spacing w:before="9"/>
        <w:rPr>
          <w:sz w:val="20"/>
        </w:rPr>
      </w:pPr>
    </w:p>
    <w:p>
      <w:pPr>
        <w:spacing w:before="0"/>
        <w:ind w:left="1179" w:right="0" w:firstLine="0"/>
        <w:jc w:val="both"/>
        <w:rPr>
          <w:sz w:val="22"/>
        </w:rPr>
      </w:pPr>
      <w:bookmarkStart w:name="First Patient In (FPI): first participan" w:id="7"/>
      <w:bookmarkEnd w:id="7"/>
      <w:r>
        <w:rPr/>
      </w:r>
      <w:r>
        <w:rPr>
          <w:b/>
          <w:sz w:val="22"/>
        </w:rPr>
        <w:t>First</w:t>
      </w:r>
      <w:r>
        <w:rPr>
          <w:b/>
          <w:spacing w:val="-7"/>
          <w:sz w:val="22"/>
        </w:rPr>
        <w:t> </w:t>
      </w:r>
      <w:r>
        <w:rPr>
          <w:b/>
          <w:sz w:val="22"/>
        </w:rPr>
        <w:t>Patient</w:t>
      </w:r>
      <w:r>
        <w:rPr>
          <w:b/>
          <w:spacing w:val="-6"/>
          <w:sz w:val="22"/>
        </w:rPr>
        <w:t> </w:t>
      </w:r>
      <w:r>
        <w:rPr>
          <w:b/>
          <w:sz w:val="22"/>
        </w:rPr>
        <w:t>In</w:t>
      </w:r>
      <w:r>
        <w:rPr>
          <w:b/>
          <w:spacing w:val="-4"/>
          <w:sz w:val="22"/>
        </w:rPr>
        <w:t> </w:t>
      </w:r>
      <w:r>
        <w:rPr>
          <w:b/>
          <w:sz w:val="22"/>
        </w:rPr>
        <w:t>(FPI)</w:t>
      </w:r>
      <w:r>
        <w:rPr>
          <w:sz w:val="22"/>
        </w:rPr>
        <w:t>:</w:t>
      </w:r>
      <w:r>
        <w:rPr>
          <w:spacing w:val="-3"/>
          <w:sz w:val="22"/>
        </w:rPr>
        <w:t> </w:t>
      </w:r>
      <w:r>
        <w:rPr>
          <w:sz w:val="22"/>
        </w:rPr>
        <w:t>first</w:t>
      </w:r>
      <w:r>
        <w:rPr>
          <w:spacing w:val="-5"/>
          <w:sz w:val="22"/>
        </w:rPr>
        <w:t> </w:t>
      </w:r>
      <w:r>
        <w:rPr>
          <w:sz w:val="22"/>
        </w:rPr>
        <w:t>participant</w:t>
      </w:r>
      <w:r>
        <w:rPr>
          <w:spacing w:val="-6"/>
          <w:sz w:val="22"/>
        </w:rPr>
        <w:t> </w:t>
      </w:r>
      <w:r>
        <w:rPr>
          <w:sz w:val="22"/>
        </w:rPr>
        <w:t>randomized</w:t>
      </w:r>
      <w:r>
        <w:rPr>
          <w:spacing w:val="-5"/>
          <w:sz w:val="22"/>
        </w:rPr>
        <w:t> </w:t>
      </w:r>
      <w:r>
        <w:rPr>
          <w:sz w:val="22"/>
        </w:rPr>
        <w:t>to</w:t>
      </w:r>
      <w:r>
        <w:rPr>
          <w:spacing w:val="-5"/>
          <w:sz w:val="22"/>
        </w:rPr>
        <w:t> </w:t>
      </w:r>
      <w:r>
        <w:rPr>
          <w:sz w:val="22"/>
        </w:rPr>
        <w:t>a</w:t>
      </w:r>
      <w:r>
        <w:rPr>
          <w:spacing w:val="-5"/>
          <w:sz w:val="22"/>
        </w:rPr>
        <w:t> </w:t>
      </w:r>
      <w:r>
        <w:rPr>
          <w:spacing w:val="-2"/>
          <w:sz w:val="22"/>
        </w:rPr>
        <w:t>study.</w:t>
      </w:r>
    </w:p>
    <w:p>
      <w:pPr>
        <w:pStyle w:val="BodyText"/>
        <w:spacing w:before="7"/>
        <w:rPr>
          <w:sz w:val="20"/>
        </w:rPr>
      </w:pPr>
    </w:p>
    <w:p>
      <w:pPr>
        <w:pStyle w:val="BodyText"/>
        <w:spacing w:line="244" w:lineRule="auto"/>
        <w:ind w:left="1179" w:right="547"/>
      </w:pPr>
      <w:bookmarkStart w:name="RFP: a business document that announces " w:id="8"/>
      <w:bookmarkEnd w:id="8"/>
      <w:r>
        <w:rPr/>
      </w:r>
      <w:r>
        <w:rPr>
          <w:b/>
        </w:rPr>
        <w:t>RFP</w:t>
      </w:r>
      <w:r>
        <w:rPr/>
        <w:t>:</w:t>
      </w:r>
      <w:r>
        <w:rPr>
          <w:spacing w:val="-1"/>
        </w:rPr>
        <w:t> </w:t>
      </w:r>
      <w:r>
        <w:rPr/>
        <w:t>a</w:t>
      </w:r>
      <w:r>
        <w:rPr>
          <w:spacing w:val="-3"/>
        </w:rPr>
        <w:t> </w:t>
      </w:r>
      <w:r>
        <w:rPr/>
        <w:t>business</w:t>
      </w:r>
      <w:r>
        <w:rPr>
          <w:spacing w:val="-3"/>
        </w:rPr>
        <w:t> </w:t>
      </w:r>
      <w:r>
        <w:rPr/>
        <w:t>document</w:t>
      </w:r>
      <w:r>
        <w:rPr>
          <w:spacing w:val="-3"/>
        </w:rPr>
        <w:t> </w:t>
      </w:r>
      <w:r>
        <w:rPr/>
        <w:t>that</w:t>
      </w:r>
      <w:r>
        <w:rPr>
          <w:spacing w:val="-3"/>
        </w:rPr>
        <w:t> </w:t>
      </w:r>
      <w:r>
        <w:rPr/>
        <w:t>announces</w:t>
      </w:r>
      <w:r>
        <w:rPr>
          <w:spacing w:val="-3"/>
        </w:rPr>
        <w:t> </w:t>
      </w:r>
      <w:r>
        <w:rPr/>
        <w:t>a</w:t>
      </w:r>
      <w:r>
        <w:rPr>
          <w:spacing w:val="-3"/>
        </w:rPr>
        <w:t> </w:t>
      </w:r>
      <w:r>
        <w:rPr/>
        <w:t>project,</w:t>
      </w:r>
      <w:r>
        <w:rPr>
          <w:spacing w:val="-3"/>
        </w:rPr>
        <w:t> </w:t>
      </w:r>
      <w:r>
        <w:rPr/>
        <w:t>describes</w:t>
      </w:r>
      <w:r>
        <w:rPr>
          <w:spacing w:val="-3"/>
        </w:rPr>
        <w:t> </w:t>
      </w:r>
      <w:r>
        <w:rPr/>
        <w:t>it,</w:t>
      </w:r>
      <w:r>
        <w:rPr>
          <w:spacing w:val="-3"/>
        </w:rPr>
        <w:t> </w:t>
      </w:r>
      <w:r>
        <w:rPr/>
        <w:t>and</w:t>
      </w:r>
      <w:r>
        <w:rPr>
          <w:spacing w:val="-3"/>
        </w:rPr>
        <w:t> </w:t>
      </w:r>
      <w:r>
        <w:rPr/>
        <w:t>solicits</w:t>
      </w:r>
      <w:r>
        <w:rPr>
          <w:spacing w:val="-3"/>
        </w:rPr>
        <w:t> </w:t>
      </w:r>
      <w:r>
        <w:rPr/>
        <w:t>bids</w:t>
      </w:r>
      <w:r>
        <w:rPr>
          <w:spacing w:val="-3"/>
        </w:rPr>
        <w:t> </w:t>
      </w:r>
      <w:r>
        <w:rPr/>
        <w:t>from vendors</w:t>
      </w:r>
      <w:r>
        <w:rPr>
          <w:spacing w:val="-9"/>
        </w:rPr>
        <w:t> </w:t>
      </w:r>
      <w:r>
        <w:rPr/>
        <w:t>to</w:t>
      </w:r>
      <w:r>
        <w:rPr>
          <w:spacing w:val="-5"/>
        </w:rPr>
        <w:t> </w:t>
      </w:r>
      <w:r>
        <w:rPr/>
        <w:t>complete</w:t>
      </w:r>
      <w:r>
        <w:rPr>
          <w:spacing w:val="-5"/>
        </w:rPr>
        <w:t> </w:t>
      </w:r>
      <w:r>
        <w:rPr/>
        <w:t>it.</w:t>
      </w:r>
      <w:r>
        <w:rPr>
          <w:spacing w:val="-5"/>
        </w:rPr>
        <w:t> </w:t>
      </w:r>
      <w:r>
        <w:rPr/>
        <w:t>It</w:t>
      </w:r>
      <w:r>
        <w:rPr>
          <w:spacing w:val="-6"/>
        </w:rPr>
        <w:t> </w:t>
      </w:r>
      <w:r>
        <w:rPr/>
        <w:t>can</w:t>
      </w:r>
      <w:r>
        <w:rPr>
          <w:spacing w:val="-5"/>
        </w:rPr>
        <w:t> </w:t>
      </w:r>
      <w:r>
        <w:rPr/>
        <w:t>include</w:t>
      </w:r>
      <w:r>
        <w:rPr>
          <w:spacing w:val="-5"/>
        </w:rPr>
        <w:t> </w:t>
      </w:r>
      <w:r>
        <w:rPr/>
        <w:t>critical</w:t>
      </w:r>
      <w:r>
        <w:rPr>
          <w:spacing w:val="-5"/>
        </w:rPr>
        <w:t> </w:t>
      </w:r>
      <w:r>
        <w:rPr/>
        <w:t>technology,</w:t>
      </w:r>
      <w:r>
        <w:rPr>
          <w:spacing w:val="-6"/>
        </w:rPr>
        <w:t> </w:t>
      </w:r>
      <w:r>
        <w:rPr/>
        <w:t>security,</w:t>
      </w:r>
      <w:r>
        <w:rPr>
          <w:spacing w:val="-5"/>
        </w:rPr>
        <w:t> </w:t>
      </w:r>
      <w:r>
        <w:rPr/>
        <w:t>and</w:t>
      </w:r>
      <w:r>
        <w:rPr>
          <w:spacing w:val="-5"/>
        </w:rPr>
        <w:t> </w:t>
      </w:r>
      <w:r>
        <w:rPr/>
        <w:t>privacy</w:t>
      </w:r>
      <w:r>
        <w:rPr>
          <w:spacing w:val="-5"/>
        </w:rPr>
        <w:t> </w:t>
      </w:r>
      <w:r>
        <w:rPr>
          <w:spacing w:val="-2"/>
        </w:rPr>
        <w:t>concerns.</w:t>
      </w:r>
    </w:p>
    <w:p>
      <w:pPr>
        <w:pStyle w:val="BodyText"/>
        <w:spacing w:before="2"/>
        <w:rPr>
          <w:sz w:val="20"/>
        </w:rPr>
      </w:pPr>
    </w:p>
    <w:p>
      <w:pPr>
        <w:pStyle w:val="BodyText"/>
        <w:spacing w:line="244" w:lineRule="auto" w:before="1"/>
        <w:ind w:left="1179" w:right="547"/>
      </w:pPr>
      <w:bookmarkStart w:name="Study Hub: IQVIA’s DCT Technology Platfo" w:id="9"/>
      <w:bookmarkEnd w:id="9"/>
      <w:r>
        <w:rPr/>
      </w:r>
      <w:r>
        <w:rPr>
          <w:b/>
        </w:rPr>
        <w:t>Study</w:t>
      </w:r>
      <w:r>
        <w:rPr>
          <w:b/>
          <w:spacing w:val="-4"/>
        </w:rPr>
        <w:t> </w:t>
      </w:r>
      <w:r>
        <w:rPr>
          <w:b/>
        </w:rPr>
        <w:t>Hub: </w:t>
      </w:r>
      <w:r>
        <w:rPr/>
        <w:t>IQVIA’s</w:t>
      </w:r>
      <w:r>
        <w:rPr>
          <w:spacing w:val="-4"/>
        </w:rPr>
        <w:t> </w:t>
      </w:r>
      <w:r>
        <w:rPr/>
        <w:t>DCT</w:t>
      </w:r>
      <w:r>
        <w:rPr>
          <w:spacing w:val="-4"/>
        </w:rPr>
        <w:t> </w:t>
      </w:r>
      <w:r>
        <w:rPr/>
        <w:t>Technology</w:t>
      </w:r>
      <w:r>
        <w:rPr>
          <w:spacing w:val="-4"/>
        </w:rPr>
        <w:t> </w:t>
      </w:r>
      <w:r>
        <w:rPr/>
        <w:t>Platform</w:t>
      </w:r>
      <w:r>
        <w:rPr>
          <w:spacing w:val="-4"/>
        </w:rPr>
        <w:t> </w:t>
      </w:r>
      <w:r>
        <w:rPr/>
        <w:t>used</w:t>
      </w:r>
      <w:r>
        <w:rPr>
          <w:spacing w:val="-4"/>
        </w:rPr>
        <w:t> </w:t>
      </w:r>
      <w:r>
        <w:rPr/>
        <w:t>to</w:t>
      </w:r>
      <w:r>
        <w:rPr>
          <w:spacing w:val="-4"/>
        </w:rPr>
        <w:t> </w:t>
      </w:r>
      <w:r>
        <w:rPr/>
        <w:t>interact</w:t>
      </w:r>
      <w:r>
        <w:rPr>
          <w:spacing w:val="-4"/>
        </w:rPr>
        <w:t> </w:t>
      </w:r>
      <w:r>
        <w:rPr/>
        <w:t>with</w:t>
      </w:r>
      <w:r>
        <w:rPr>
          <w:spacing w:val="-4"/>
        </w:rPr>
        <w:t> </w:t>
      </w:r>
      <w:r>
        <w:rPr/>
        <w:t>the</w:t>
      </w:r>
      <w:r>
        <w:rPr>
          <w:spacing w:val="-4"/>
        </w:rPr>
        <w:t> </w:t>
      </w:r>
      <w:r>
        <w:rPr/>
        <w:t>participants</w:t>
      </w:r>
      <w:r>
        <w:rPr>
          <w:spacing w:val="-6"/>
        </w:rPr>
        <w:t> </w:t>
      </w:r>
      <w:r>
        <w:rPr/>
        <w:t>and </w:t>
      </w:r>
      <w:bookmarkStart w:name="MATERIAL AND EQUIPMENT" w:id="10"/>
      <w:bookmarkEnd w:id="10"/>
      <w:r>
        <w:rPr/>
        <w:t>site</w:t>
      </w:r>
      <w:r>
        <w:rPr/>
        <w:t>s on a DCT project.</w:t>
      </w:r>
    </w:p>
    <w:p>
      <w:pPr>
        <w:pStyle w:val="BodyText"/>
        <w:spacing w:before="9"/>
        <w:rPr>
          <w:sz w:val="19"/>
        </w:rPr>
      </w:pPr>
    </w:p>
    <w:p>
      <w:pPr>
        <w:pStyle w:val="ListParagraph"/>
        <w:numPr>
          <w:ilvl w:val="0"/>
          <w:numId w:val="1"/>
        </w:numPr>
        <w:tabs>
          <w:tab w:pos="1179" w:val="left" w:leader="none"/>
          <w:tab w:pos="1180" w:val="left" w:leader="none"/>
        </w:tabs>
        <w:spacing w:line="240" w:lineRule="auto" w:before="0" w:after="0"/>
        <w:ind w:left="1180" w:right="0" w:hanging="721"/>
        <w:jc w:val="left"/>
        <w:rPr>
          <w:b/>
          <w:sz w:val="22"/>
        </w:rPr>
      </w:pPr>
      <w:r>
        <w:rPr>
          <w:b/>
          <w:sz w:val="22"/>
        </w:rPr>
        <w:t>MATERIAL</w:t>
      </w:r>
      <w:r>
        <w:rPr>
          <w:b/>
          <w:spacing w:val="-9"/>
          <w:sz w:val="22"/>
        </w:rPr>
        <w:t> </w:t>
      </w:r>
      <w:r>
        <w:rPr>
          <w:b/>
          <w:sz w:val="22"/>
        </w:rPr>
        <w:t>AND</w:t>
      </w:r>
      <w:r>
        <w:rPr>
          <w:b/>
          <w:spacing w:val="-9"/>
          <w:sz w:val="22"/>
        </w:rPr>
        <w:t> </w:t>
      </w:r>
      <w:r>
        <w:rPr>
          <w:b/>
          <w:spacing w:val="-2"/>
          <w:sz w:val="22"/>
        </w:rPr>
        <w:t>EQUIPMENT</w:t>
      </w:r>
    </w:p>
    <w:p>
      <w:pPr>
        <w:pStyle w:val="BodyText"/>
        <w:spacing w:before="126"/>
        <w:ind w:left="1179"/>
        <w:jc w:val="both"/>
      </w:pPr>
      <w:r>
        <w:rPr/>
        <w:t>Not</w:t>
      </w:r>
      <w:r>
        <w:rPr>
          <w:spacing w:val="-3"/>
        </w:rPr>
        <w:t> </w:t>
      </w:r>
      <w:r>
        <w:rPr>
          <w:spacing w:val="-2"/>
        </w:rPr>
        <w:t>Applicable</w:t>
      </w:r>
    </w:p>
    <w:p>
      <w:pPr>
        <w:pStyle w:val="BodyText"/>
        <w:spacing w:before="7"/>
        <w:rPr>
          <w:sz w:val="20"/>
        </w:rPr>
      </w:pPr>
    </w:p>
    <w:p>
      <w:pPr>
        <w:pStyle w:val="ListParagraph"/>
        <w:numPr>
          <w:ilvl w:val="0"/>
          <w:numId w:val="1"/>
        </w:numPr>
        <w:tabs>
          <w:tab w:pos="1179" w:val="left" w:leader="none"/>
          <w:tab w:pos="1180" w:val="left" w:leader="none"/>
        </w:tabs>
        <w:spacing w:line="240" w:lineRule="auto" w:before="0" w:after="0"/>
        <w:ind w:left="1180" w:right="0" w:hanging="721"/>
        <w:jc w:val="left"/>
        <w:rPr>
          <w:b/>
          <w:sz w:val="22"/>
        </w:rPr>
      </w:pPr>
      <w:bookmarkStart w:name="PROCEDURE" w:id="11"/>
      <w:bookmarkEnd w:id="11"/>
      <w:r>
        <w:rPr>
          <w:b/>
          <w:spacing w:val="-2"/>
          <w:sz w:val="22"/>
        </w:rPr>
        <w:t>PROCEDURE</w:t>
      </w:r>
    </w:p>
    <w:p>
      <w:pPr>
        <w:pStyle w:val="BodyText"/>
        <w:spacing w:before="6"/>
        <w:rPr>
          <w:b/>
          <w:sz w:val="20"/>
        </w:rPr>
      </w:pPr>
    </w:p>
    <w:p>
      <w:pPr>
        <w:pStyle w:val="ListParagraph"/>
        <w:numPr>
          <w:ilvl w:val="1"/>
          <w:numId w:val="1"/>
        </w:numPr>
        <w:tabs>
          <w:tab w:pos="1899" w:val="left" w:leader="none"/>
          <w:tab w:pos="1900" w:val="left" w:leader="none"/>
        </w:tabs>
        <w:spacing w:line="240" w:lineRule="auto" w:before="1" w:after="0"/>
        <w:ind w:left="1900" w:right="0" w:hanging="721"/>
        <w:jc w:val="left"/>
        <w:rPr>
          <w:b/>
          <w:sz w:val="22"/>
        </w:rPr>
      </w:pPr>
      <w:bookmarkStart w:name="R&amp;DS IT’s Study Hub Strategic Document A" w:id="12"/>
      <w:bookmarkEnd w:id="12"/>
      <w:r>
        <w:rPr>
          <w:b/>
          <w:sz w:val="22"/>
        </w:rPr>
        <w:t>R&amp;D</w:t>
      </w:r>
      <w:r>
        <w:rPr>
          <w:b/>
          <w:sz w:val="22"/>
        </w:rPr>
        <w:t>S</w:t>
      </w:r>
      <w:r>
        <w:rPr>
          <w:b/>
          <w:spacing w:val="-7"/>
          <w:sz w:val="22"/>
        </w:rPr>
        <w:t> </w:t>
      </w:r>
      <w:r>
        <w:rPr>
          <w:b/>
          <w:sz w:val="22"/>
        </w:rPr>
        <w:t>IT’s</w:t>
      </w:r>
      <w:r>
        <w:rPr>
          <w:b/>
          <w:spacing w:val="-4"/>
          <w:sz w:val="22"/>
        </w:rPr>
        <w:t> </w:t>
      </w:r>
      <w:r>
        <w:rPr>
          <w:b/>
          <w:sz w:val="22"/>
        </w:rPr>
        <w:t>Study</w:t>
      </w:r>
      <w:r>
        <w:rPr>
          <w:b/>
          <w:spacing w:val="-7"/>
          <w:sz w:val="22"/>
        </w:rPr>
        <w:t> </w:t>
      </w:r>
      <w:r>
        <w:rPr>
          <w:b/>
          <w:sz w:val="22"/>
        </w:rPr>
        <w:t>Hub</w:t>
      </w:r>
      <w:r>
        <w:rPr>
          <w:b/>
          <w:spacing w:val="-6"/>
          <w:sz w:val="22"/>
        </w:rPr>
        <w:t> </w:t>
      </w:r>
      <w:r>
        <w:rPr>
          <w:b/>
          <w:sz w:val="22"/>
        </w:rPr>
        <w:t>Strategic</w:t>
      </w:r>
      <w:r>
        <w:rPr>
          <w:b/>
          <w:spacing w:val="-7"/>
          <w:sz w:val="22"/>
        </w:rPr>
        <w:t> </w:t>
      </w:r>
      <w:r>
        <w:rPr>
          <w:b/>
          <w:sz w:val="22"/>
        </w:rPr>
        <w:t>Document</w:t>
      </w:r>
      <w:r>
        <w:rPr>
          <w:b/>
          <w:spacing w:val="-6"/>
          <w:sz w:val="22"/>
        </w:rPr>
        <w:t> </w:t>
      </w:r>
      <w:r>
        <w:rPr>
          <w:b/>
          <w:sz w:val="22"/>
        </w:rPr>
        <w:t>Approval</w:t>
      </w:r>
      <w:r>
        <w:rPr>
          <w:b/>
          <w:spacing w:val="-5"/>
          <w:sz w:val="22"/>
        </w:rPr>
        <w:t> </w:t>
      </w:r>
      <w:r>
        <w:rPr>
          <w:b/>
          <w:spacing w:val="-2"/>
          <w:sz w:val="22"/>
        </w:rPr>
        <w:t>Process</w:t>
      </w:r>
    </w:p>
    <w:p>
      <w:pPr>
        <w:pStyle w:val="BodyText"/>
        <w:rPr>
          <w:b/>
          <w:sz w:val="20"/>
        </w:rPr>
      </w:pPr>
    </w:p>
    <w:p>
      <w:pPr>
        <w:pStyle w:val="BodyText"/>
        <w:spacing w:after="1"/>
        <w:rPr>
          <w:b/>
          <w:sz w:val="13"/>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67" w:hRule="atLeast"/>
        </w:trPr>
        <w:tc>
          <w:tcPr>
            <w:tcW w:w="797" w:type="dxa"/>
          </w:tcPr>
          <w:p>
            <w:pPr>
              <w:pStyle w:val="TableParagraph"/>
              <w:spacing w:before="42"/>
              <w:ind w:left="115"/>
              <w:rPr>
                <w:sz w:val="20"/>
              </w:rPr>
            </w:pPr>
            <w:r>
              <w:rPr>
                <w:spacing w:val="-2"/>
                <w:sz w:val="20"/>
              </w:rPr>
              <w:t>6.1.1</w:t>
            </w:r>
          </w:p>
        </w:tc>
        <w:tc>
          <w:tcPr>
            <w:tcW w:w="1162" w:type="dxa"/>
          </w:tcPr>
          <w:p>
            <w:pPr>
              <w:pStyle w:val="TableParagraph"/>
              <w:spacing w:before="42"/>
              <w:ind w:left="110"/>
              <w:rPr>
                <w:sz w:val="20"/>
              </w:rPr>
            </w:pPr>
            <w:r>
              <w:rPr>
                <w:spacing w:val="-5"/>
                <w:sz w:val="20"/>
              </w:rPr>
              <w:t>DO</w:t>
            </w:r>
          </w:p>
        </w:tc>
        <w:tc>
          <w:tcPr>
            <w:tcW w:w="6264" w:type="dxa"/>
          </w:tcPr>
          <w:p>
            <w:pPr>
              <w:pStyle w:val="TableParagraph"/>
              <w:spacing w:before="42"/>
              <w:ind w:left="109"/>
              <w:rPr>
                <w:sz w:val="20"/>
              </w:rPr>
            </w:pPr>
            <w:r>
              <w:rPr>
                <w:sz w:val="20"/>
              </w:rPr>
              <w:t>Sends</w:t>
            </w:r>
            <w:r>
              <w:rPr>
                <w:spacing w:val="-6"/>
                <w:sz w:val="20"/>
              </w:rPr>
              <w:t> </w:t>
            </w:r>
            <w:r>
              <w:rPr>
                <w:sz w:val="20"/>
              </w:rPr>
              <w:t>Study</w:t>
            </w:r>
            <w:r>
              <w:rPr>
                <w:spacing w:val="-6"/>
                <w:sz w:val="20"/>
              </w:rPr>
              <w:t> </w:t>
            </w:r>
            <w:r>
              <w:rPr>
                <w:sz w:val="20"/>
              </w:rPr>
              <w:t>Hub</w:t>
            </w:r>
            <w:r>
              <w:rPr>
                <w:spacing w:val="-6"/>
                <w:sz w:val="20"/>
              </w:rPr>
              <w:t> </w:t>
            </w:r>
            <w:r>
              <w:rPr>
                <w:sz w:val="20"/>
              </w:rPr>
              <w:t>Strategic</w:t>
            </w:r>
            <w:r>
              <w:rPr>
                <w:spacing w:val="-6"/>
                <w:sz w:val="20"/>
              </w:rPr>
              <w:t> </w:t>
            </w:r>
            <w:r>
              <w:rPr>
                <w:sz w:val="20"/>
              </w:rPr>
              <w:t>Document</w:t>
            </w:r>
            <w:r>
              <w:rPr>
                <w:spacing w:val="-6"/>
                <w:sz w:val="20"/>
              </w:rPr>
              <w:t> </w:t>
            </w:r>
            <w:r>
              <w:rPr>
                <w:sz w:val="20"/>
              </w:rPr>
              <w:t>to</w:t>
            </w:r>
            <w:r>
              <w:rPr>
                <w:spacing w:val="-6"/>
                <w:sz w:val="20"/>
              </w:rPr>
              <w:t> </w:t>
            </w:r>
            <w:r>
              <w:rPr>
                <w:sz w:val="20"/>
              </w:rPr>
              <w:t>SHBSL</w:t>
            </w:r>
            <w:r>
              <w:rPr>
                <w:spacing w:val="-6"/>
                <w:sz w:val="20"/>
              </w:rPr>
              <w:t> </w:t>
            </w:r>
            <w:r>
              <w:rPr>
                <w:sz w:val="20"/>
              </w:rPr>
              <w:t>for</w:t>
            </w:r>
            <w:r>
              <w:rPr>
                <w:spacing w:val="-6"/>
                <w:sz w:val="20"/>
              </w:rPr>
              <w:t> </w:t>
            </w:r>
            <w:r>
              <w:rPr>
                <w:spacing w:val="-2"/>
                <w:sz w:val="20"/>
              </w:rPr>
              <w:t>review</w:t>
            </w:r>
          </w:p>
        </w:tc>
        <w:tc>
          <w:tcPr>
            <w:tcW w:w="1843" w:type="dxa"/>
          </w:tcPr>
          <w:p>
            <w:pPr>
              <w:pStyle w:val="TableParagraph"/>
              <w:spacing w:before="38"/>
              <w:ind w:left="109"/>
              <w:rPr>
                <w:sz w:val="20"/>
              </w:rPr>
            </w:pPr>
            <w:r>
              <w:rPr>
                <w:sz w:val="20"/>
              </w:rPr>
              <w:t>Study Hub implementation</w:t>
            </w:r>
            <w:r>
              <w:rPr>
                <w:spacing w:val="-14"/>
                <w:sz w:val="20"/>
              </w:rPr>
              <w:t> </w:t>
            </w:r>
            <w:r>
              <w:rPr>
                <w:sz w:val="20"/>
              </w:rPr>
              <w:t>– prior to FPI</w:t>
            </w:r>
          </w:p>
        </w:tc>
      </w:tr>
      <w:tr>
        <w:trPr>
          <w:trHeight w:val="1271" w:hRule="atLeast"/>
        </w:trPr>
        <w:tc>
          <w:tcPr>
            <w:tcW w:w="797" w:type="dxa"/>
          </w:tcPr>
          <w:p>
            <w:pPr>
              <w:pStyle w:val="TableParagraph"/>
              <w:spacing w:before="42"/>
              <w:ind w:left="115"/>
              <w:rPr>
                <w:sz w:val="20"/>
              </w:rPr>
            </w:pPr>
            <w:r>
              <w:rPr>
                <w:spacing w:val="-2"/>
                <w:sz w:val="20"/>
              </w:rPr>
              <w:t>6.1.2</w:t>
            </w:r>
          </w:p>
        </w:tc>
        <w:tc>
          <w:tcPr>
            <w:tcW w:w="1162" w:type="dxa"/>
          </w:tcPr>
          <w:p>
            <w:pPr>
              <w:pStyle w:val="TableParagraph"/>
              <w:spacing w:before="42"/>
              <w:ind w:left="110"/>
              <w:rPr>
                <w:sz w:val="20"/>
              </w:rPr>
            </w:pPr>
            <w:r>
              <w:rPr>
                <w:spacing w:val="-2"/>
                <w:sz w:val="20"/>
              </w:rPr>
              <w:t>SHBSL</w:t>
            </w:r>
          </w:p>
        </w:tc>
        <w:tc>
          <w:tcPr>
            <w:tcW w:w="6264" w:type="dxa"/>
          </w:tcPr>
          <w:p>
            <w:pPr>
              <w:pStyle w:val="TableParagraph"/>
              <w:spacing w:before="57"/>
              <w:ind w:left="109" w:right="127"/>
              <w:rPr>
                <w:sz w:val="20"/>
              </w:rPr>
            </w:pPr>
            <w:r>
              <w:rPr>
                <w:sz w:val="20"/>
              </w:rPr>
              <w:t>Reviews Study Hub Strategic Document. Determines if the document</w:t>
            </w:r>
            <w:r>
              <w:rPr>
                <w:spacing w:val="-6"/>
                <w:sz w:val="20"/>
              </w:rPr>
              <w:t> </w:t>
            </w:r>
            <w:r>
              <w:rPr>
                <w:sz w:val="20"/>
              </w:rPr>
              <w:t>requrires</w:t>
            </w:r>
            <w:r>
              <w:rPr>
                <w:spacing w:val="-6"/>
                <w:sz w:val="20"/>
              </w:rPr>
              <w:t> </w:t>
            </w:r>
            <w:r>
              <w:rPr>
                <w:sz w:val="20"/>
              </w:rPr>
              <w:t>leadership</w:t>
            </w:r>
            <w:r>
              <w:rPr>
                <w:spacing w:val="-6"/>
                <w:sz w:val="20"/>
              </w:rPr>
              <w:t> </w:t>
            </w:r>
            <w:r>
              <w:rPr>
                <w:sz w:val="20"/>
              </w:rPr>
              <w:t>approval</w:t>
            </w:r>
            <w:r>
              <w:rPr>
                <w:spacing w:val="-3"/>
                <w:sz w:val="20"/>
              </w:rPr>
              <w:t> </w:t>
            </w:r>
            <w:r>
              <w:rPr>
                <w:sz w:val="20"/>
              </w:rPr>
              <w:t>by</w:t>
            </w:r>
            <w:r>
              <w:rPr>
                <w:spacing w:val="-6"/>
                <w:sz w:val="20"/>
              </w:rPr>
              <w:t> </w:t>
            </w:r>
            <w:r>
              <w:rPr>
                <w:sz w:val="20"/>
              </w:rPr>
              <w:t>evaluating</w:t>
            </w:r>
            <w:r>
              <w:rPr>
                <w:spacing w:val="-6"/>
                <w:sz w:val="20"/>
              </w:rPr>
              <w:t> </w:t>
            </w:r>
            <w:r>
              <w:rPr>
                <w:sz w:val="20"/>
              </w:rPr>
              <w:t>the</w:t>
            </w:r>
            <w:r>
              <w:rPr>
                <w:spacing w:val="-6"/>
                <w:sz w:val="20"/>
              </w:rPr>
              <w:t> </w:t>
            </w:r>
            <w:r>
              <w:rPr>
                <w:sz w:val="20"/>
              </w:rPr>
              <w:t>strategic nature of the content and the recipient. If the document is considered strategic and acceptable, sends it to the M1 for review and approval. If the document requires editing, returns to the DO.</w:t>
            </w:r>
          </w:p>
        </w:tc>
        <w:tc>
          <w:tcPr>
            <w:tcW w:w="1843" w:type="dxa"/>
          </w:tcPr>
          <w:p>
            <w:pPr>
              <w:pStyle w:val="TableParagraph"/>
              <w:spacing w:before="38"/>
              <w:ind w:left="109"/>
              <w:rPr>
                <w:sz w:val="20"/>
              </w:rPr>
            </w:pPr>
            <w:r>
              <w:rPr>
                <w:sz w:val="20"/>
              </w:rPr>
              <w:t>Study Hub implementation</w:t>
            </w:r>
            <w:r>
              <w:rPr>
                <w:spacing w:val="-14"/>
                <w:sz w:val="20"/>
              </w:rPr>
              <w:t> </w:t>
            </w:r>
            <w:r>
              <w:rPr>
                <w:sz w:val="20"/>
              </w:rPr>
              <w:t>– prior to FPI</w:t>
            </w:r>
          </w:p>
        </w:tc>
      </w:tr>
      <w:tr>
        <w:trPr>
          <w:trHeight w:val="1118" w:hRule="atLeast"/>
        </w:trPr>
        <w:tc>
          <w:tcPr>
            <w:tcW w:w="797" w:type="dxa"/>
          </w:tcPr>
          <w:p>
            <w:pPr>
              <w:pStyle w:val="TableParagraph"/>
              <w:spacing w:before="42"/>
              <w:ind w:left="115"/>
              <w:rPr>
                <w:sz w:val="20"/>
              </w:rPr>
            </w:pPr>
            <w:r>
              <w:rPr>
                <w:spacing w:val="-2"/>
                <w:sz w:val="20"/>
              </w:rPr>
              <w:t>6.1.3</w:t>
            </w:r>
          </w:p>
        </w:tc>
        <w:tc>
          <w:tcPr>
            <w:tcW w:w="1162" w:type="dxa"/>
          </w:tcPr>
          <w:p>
            <w:pPr>
              <w:pStyle w:val="TableParagraph"/>
              <w:spacing w:line="229" w:lineRule="exact"/>
              <w:ind w:left="110"/>
              <w:rPr>
                <w:sz w:val="20"/>
              </w:rPr>
            </w:pPr>
            <w:r>
              <w:rPr>
                <w:spacing w:val="-5"/>
                <w:sz w:val="20"/>
              </w:rPr>
              <w:t>M1</w:t>
            </w:r>
          </w:p>
        </w:tc>
        <w:tc>
          <w:tcPr>
            <w:tcW w:w="6264" w:type="dxa"/>
          </w:tcPr>
          <w:p>
            <w:pPr>
              <w:pStyle w:val="TableParagraph"/>
              <w:spacing w:before="57"/>
              <w:ind w:left="109"/>
              <w:rPr>
                <w:sz w:val="20"/>
              </w:rPr>
            </w:pPr>
            <w:r>
              <w:rPr>
                <w:sz w:val="20"/>
              </w:rPr>
              <w:t>Reviews</w:t>
            </w:r>
            <w:r>
              <w:rPr>
                <w:spacing w:val="-6"/>
                <w:sz w:val="20"/>
              </w:rPr>
              <w:t> </w:t>
            </w:r>
            <w:r>
              <w:rPr>
                <w:sz w:val="20"/>
              </w:rPr>
              <w:t>Study</w:t>
            </w:r>
            <w:r>
              <w:rPr>
                <w:spacing w:val="-6"/>
                <w:sz w:val="20"/>
              </w:rPr>
              <w:t> </w:t>
            </w:r>
            <w:r>
              <w:rPr>
                <w:sz w:val="20"/>
              </w:rPr>
              <w:t>Hub</w:t>
            </w:r>
            <w:r>
              <w:rPr>
                <w:spacing w:val="-6"/>
                <w:sz w:val="20"/>
              </w:rPr>
              <w:t> </w:t>
            </w:r>
            <w:r>
              <w:rPr>
                <w:sz w:val="20"/>
              </w:rPr>
              <w:t>Strategic</w:t>
            </w:r>
            <w:r>
              <w:rPr>
                <w:spacing w:val="-6"/>
                <w:sz w:val="20"/>
              </w:rPr>
              <w:t> </w:t>
            </w:r>
            <w:r>
              <w:rPr>
                <w:spacing w:val="-2"/>
                <w:sz w:val="20"/>
              </w:rPr>
              <w:t>Document.</w:t>
            </w:r>
          </w:p>
          <w:p>
            <w:pPr>
              <w:pStyle w:val="TableParagraph"/>
              <w:spacing w:before="63"/>
              <w:ind w:left="109"/>
              <w:rPr>
                <w:sz w:val="20"/>
              </w:rPr>
            </w:pPr>
            <w:r>
              <w:rPr>
                <w:sz w:val="20"/>
              </w:rPr>
              <w:t>If</w:t>
            </w:r>
            <w:r>
              <w:rPr>
                <w:spacing w:val="-7"/>
                <w:sz w:val="20"/>
              </w:rPr>
              <w:t> </w:t>
            </w:r>
            <w:r>
              <w:rPr>
                <w:sz w:val="20"/>
              </w:rPr>
              <w:t>the</w:t>
            </w:r>
            <w:r>
              <w:rPr>
                <w:spacing w:val="-4"/>
                <w:sz w:val="20"/>
              </w:rPr>
              <w:t> </w:t>
            </w:r>
            <w:r>
              <w:rPr>
                <w:sz w:val="20"/>
              </w:rPr>
              <w:t>document</w:t>
            </w:r>
            <w:r>
              <w:rPr>
                <w:spacing w:val="-5"/>
                <w:sz w:val="20"/>
              </w:rPr>
              <w:t> </w:t>
            </w:r>
            <w:r>
              <w:rPr>
                <w:sz w:val="20"/>
              </w:rPr>
              <w:t>needs</w:t>
            </w:r>
            <w:r>
              <w:rPr>
                <w:spacing w:val="-5"/>
                <w:sz w:val="20"/>
              </w:rPr>
              <w:t> </w:t>
            </w:r>
            <w:r>
              <w:rPr>
                <w:sz w:val="20"/>
              </w:rPr>
              <w:t>editing,</w:t>
            </w:r>
            <w:r>
              <w:rPr>
                <w:spacing w:val="-5"/>
                <w:sz w:val="20"/>
              </w:rPr>
              <w:t> </w:t>
            </w:r>
            <w:r>
              <w:rPr>
                <w:sz w:val="20"/>
              </w:rPr>
              <w:t>sends</w:t>
            </w:r>
            <w:r>
              <w:rPr>
                <w:spacing w:val="-5"/>
                <w:sz w:val="20"/>
              </w:rPr>
              <w:t> </w:t>
            </w:r>
            <w:r>
              <w:rPr>
                <w:sz w:val="20"/>
              </w:rPr>
              <w:t>it</w:t>
            </w:r>
            <w:r>
              <w:rPr>
                <w:spacing w:val="-5"/>
                <w:sz w:val="20"/>
              </w:rPr>
              <w:t> </w:t>
            </w:r>
            <w:r>
              <w:rPr>
                <w:sz w:val="20"/>
              </w:rPr>
              <w:t>back</w:t>
            </w:r>
            <w:r>
              <w:rPr>
                <w:spacing w:val="-5"/>
                <w:sz w:val="20"/>
              </w:rPr>
              <w:t> </w:t>
            </w:r>
            <w:r>
              <w:rPr>
                <w:sz w:val="20"/>
              </w:rPr>
              <w:t>to</w:t>
            </w:r>
            <w:r>
              <w:rPr>
                <w:spacing w:val="-4"/>
                <w:sz w:val="20"/>
              </w:rPr>
              <w:t> </w:t>
            </w:r>
            <w:r>
              <w:rPr>
                <w:sz w:val="20"/>
              </w:rPr>
              <w:t>the</w:t>
            </w:r>
            <w:r>
              <w:rPr>
                <w:spacing w:val="-4"/>
                <w:sz w:val="20"/>
              </w:rPr>
              <w:t> </w:t>
            </w:r>
            <w:r>
              <w:rPr>
                <w:spacing w:val="-2"/>
                <w:sz w:val="20"/>
              </w:rPr>
              <w:t>SHBSL.</w:t>
            </w:r>
          </w:p>
          <w:p>
            <w:pPr>
              <w:pStyle w:val="TableParagraph"/>
              <w:spacing w:before="38"/>
              <w:ind w:left="109"/>
              <w:rPr>
                <w:sz w:val="20"/>
              </w:rPr>
            </w:pPr>
            <w:r>
              <w:rPr>
                <w:sz w:val="20"/>
              </w:rPr>
              <w:t>If</w:t>
            </w:r>
            <w:r>
              <w:rPr>
                <w:spacing w:val="-3"/>
                <w:sz w:val="20"/>
              </w:rPr>
              <w:t> </w:t>
            </w:r>
            <w:r>
              <w:rPr>
                <w:sz w:val="20"/>
              </w:rPr>
              <w:t>the</w:t>
            </w:r>
            <w:r>
              <w:rPr>
                <w:spacing w:val="-3"/>
                <w:sz w:val="20"/>
              </w:rPr>
              <w:t> </w:t>
            </w:r>
            <w:r>
              <w:rPr>
                <w:sz w:val="20"/>
              </w:rPr>
              <w:t>document</w:t>
            </w:r>
            <w:r>
              <w:rPr>
                <w:spacing w:val="-3"/>
                <w:sz w:val="20"/>
              </w:rPr>
              <w:t> </w:t>
            </w:r>
            <w:r>
              <w:rPr>
                <w:sz w:val="20"/>
              </w:rPr>
              <w:t>is</w:t>
            </w:r>
            <w:r>
              <w:rPr>
                <w:spacing w:val="-3"/>
                <w:sz w:val="20"/>
              </w:rPr>
              <w:t> </w:t>
            </w:r>
            <w:r>
              <w:rPr>
                <w:sz w:val="20"/>
              </w:rPr>
              <w:t>acceptable,</w:t>
            </w:r>
            <w:r>
              <w:rPr>
                <w:spacing w:val="-4"/>
                <w:sz w:val="20"/>
              </w:rPr>
              <w:t> </w:t>
            </w:r>
            <w:r>
              <w:rPr>
                <w:sz w:val="20"/>
              </w:rPr>
              <w:t>sends</w:t>
            </w:r>
            <w:r>
              <w:rPr>
                <w:spacing w:val="-4"/>
                <w:sz w:val="20"/>
              </w:rPr>
              <w:t> </w:t>
            </w:r>
            <w:r>
              <w:rPr>
                <w:sz w:val="20"/>
              </w:rPr>
              <w:t>an</w:t>
            </w:r>
            <w:r>
              <w:rPr>
                <w:spacing w:val="-4"/>
                <w:sz w:val="20"/>
              </w:rPr>
              <w:t> </w:t>
            </w:r>
            <w:r>
              <w:rPr>
                <w:sz w:val="20"/>
              </w:rPr>
              <w:t>approval</w:t>
            </w:r>
            <w:r>
              <w:rPr>
                <w:spacing w:val="-3"/>
                <w:sz w:val="20"/>
              </w:rPr>
              <w:t> </w:t>
            </w:r>
            <w:r>
              <w:rPr>
                <w:sz w:val="20"/>
              </w:rPr>
              <w:t>email</w:t>
            </w:r>
            <w:r>
              <w:rPr>
                <w:spacing w:val="-3"/>
                <w:sz w:val="20"/>
              </w:rPr>
              <w:t> </w:t>
            </w:r>
            <w:r>
              <w:rPr>
                <w:sz w:val="20"/>
              </w:rPr>
              <w:t>with</w:t>
            </w:r>
            <w:r>
              <w:rPr>
                <w:spacing w:val="-3"/>
                <w:sz w:val="20"/>
              </w:rPr>
              <w:t> </w:t>
            </w:r>
            <w:r>
              <w:rPr>
                <w:sz w:val="20"/>
              </w:rPr>
              <w:t>the document attached to the M2, and copies the SHBSL.</w:t>
            </w:r>
          </w:p>
        </w:tc>
        <w:tc>
          <w:tcPr>
            <w:tcW w:w="1843" w:type="dxa"/>
          </w:tcPr>
          <w:p>
            <w:pPr>
              <w:pStyle w:val="TableParagraph"/>
              <w:spacing w:before="38"/>
              <w:ind w:left="109"/>
              <w:rPr>
                <w:sz w:val="20"/>
              </w:rPr>
            </w:pPr>
            <w:r>
              <w:rPr>
                <w:sz w:val="20"/>
              </w:rPr>
              <w:t>Study Hub implementation</w:t>
            </w:r>
            <w:r>
              <w:rPr>
                <w:spacing w:val="-14"/>
                <w:sz w:val="20"/>
              </w:rPr>
              <w:t> </w:t>
            </w:r>
            <w:r>
              <w:rPr>
                <w:sz w:val="20"/>
              </w:rPr>
              <w:t>– prior to FPI</w:t>
            </w:r>
          </w:p>
        </w:tc>
      </w:tr>
      <w:tr>
        <w:trPr>
          <w:trHeight w:val="1122" w:hRule="atLeast"/>
        </w:trPr>
        <w:tc>
          <w:tcPr>
            <w:tcW w:w="797" w:type="dxa"/>
          </w:tcPr>
          <w:p>
            <w:pPr>
              <w:pStyle w:val="TableParagraph"/>
              <w:spacing w:before="42"/>
              <w:ind w:left="115"/>
              <w:rPr>
                <w:sz w:val="20"/>
              </w:rPr>
            </w:pPr>
            <w:r>
              <w:rPr>
                <w:spacing w:val="-2"/>
                <w:sz w:val="20"/>
              </w:rPr>
              <w:t>6.1.4</w:t>
            </w:r>
          </w:p>
        </w:tc>
        <w:tc>
          <w:tcPr>
            <w:tcW w:w="1162" w:type="dxa"/>
          </w:tcPr>
          <w:p>
            <w:pPr>
              <w:pStyle w:val="TableParagraph"/>
              <w:spacing w:line="229" w:lineRule="exact"/>
              <w:ind w:left="110"/>
              <w:rPr>
                <w:sz w:val="20"/>
              </w:rPr>
            </w:pPr>
            <w:r>
              <w:rPr>
                <w:spacing w:val="-5"/>
                <w:sz w:val="20"/>
              </w:rPr>
              <w:t>M2</w:t>
            </w:r>
          </w:p>
        </w:tc>
        <w:tc>
          <w:tcPr>
            <w:tcW w:w="6264" w:type="dxa"/>
          </w:tcPr>
          <w:p>
            <w:pPr>
              <w:pStyle w:val="TableParagraph"/>
              <w:spacing w:before="57"/>
              <w:ind w:left="109"/>
              <w:rPr>
                <w:sz w:val="20"/>
              </w:rPr>
            </w:pPr>
            <w:r>
              <w:rPr>
                <w:sz w:val="20"/>
              </w:rPr>
              <w:t>Reviews</w:t>
            </w:r>
            <w:r>
              <w:rPr>
                <w:spacing w:val="-7"/>
                <w:sz w:val="20"/>
              </w:rPr>
              <w:t> </w:t>
            </w:r>
            <w:r>
              <w:rPr>
                <w:sz w:val="20"/>
              </w:rPr>
              <w:t>Study</w:t>
            </w:r>
            <w:r>
              <w:rPr>
                <w:spacing w:val="-6"/>
                <w:sz w:val="20"/>
              </w:rPr>
              <w:t> </w:t>
            </w:r>
            <w:r>
              <w:rPr>
                <w:sz w:val="20"/>
              </w:rPr>
              <w:t>Hub</w:t>
            </w:r>
            <w:r>
              <w:rPr>
                <w:spacing w:val="-7"/>
                <w:sz w:val="20"/>
              </w:rPr>
              <w:t> </w:t>
            </w:r>
            <w:r>
              <w:rPr>
                <w:sz w:val="20"/>
              </w:rPr>
              <w:t>Strategic</w:t>
            </w:r>
            <w:r>
              <w:rPr>
                <w:spacing w:val="-6"/>
                <w:sz w:val="20"/>
              </w:rPr>
              <w:t> </w:t>
            </w:r>
            <w:r>
              <w:rPr>
                <w:spacing w:val="-2"/>
                <w:sz w:val="20"/>
              </w:rPr>
              <w:t>Document.</w:t>
            </w:r>
          </w:p>
          <w:p>
            <w:pPr>
              <w:pStyle w:val="TableParagraph"/>
              <w:spacing w:before="63"/>
              <w:ind w:left="109"/>
              <w:rPr>
                <w:sz w:val="20"/>
              </w:rPr>
            </w:pPr>
            <w:r>
              <w:rPr>
                <w:sz w:val="20"/>
              </w:rPr>
              <w:t>If</w:t>
            </w:r>
            <w:r>
              <w:rPr>
                <w:spacing w:val="-7"/>
                <w:sz w:val="20"/>
              </w:rPr>
              <w:t> </w:t>
            </w:r>
            <w:r>
              <w:rPr>
                <w:sz w:val="20"/>
              </w:rPr>
              <w:t>the</w:t>
            </w:r>
            <w:r>
              <w:rPr>
                <w:spacing w:val="-4"/>
                <w:sz w:val="20"/>
              </w:rPr>
              <w:t> </w:t>
            </w:r>
            <w:r>
              <w:rPr>
                <w:sz w:val="20"/>
              </w:rPr>
              <w:t>document</w:t>
            </w:r>
            <w:r>
              <w:rPr>
                <w:spacing w:val="-5"/>
                <w:sz w:val="20"/>
              </w:rPr>
              <w:t> </w:t>
            </w:r>
            <w:r>
              <w:rPr>
                <w:sz w:val="20"/>
              </w:rPr>
              <w:t>needs</w:t>
            </w:r>
            <w:r>
              <w:rPr>
                <w:spacing w:val="-5"/>
                <w:sz w:val="20"/>
              </w:rPr>
              <w:t> </w:t>
            </w:r>
            <w:r>
              <w:rPr>
                <w:sz w:val="20"/>
              </w:rPr>
              <w:t>editing,</w:t>
            </w:r>
            <w:r>
              <w:rPr>
                <w:spacing w:val="-5"/>
                <w:sz w:val="20"/>
              </w:rPr>
              <w:t> </w:t>
            </w:r>
            <w:r>
              <w:rPr>
                <w:sz w:val="20"/>
              </w:rPr>
              <w:t>sends</w:t>
            </w:r>
            <w:r>
              <w:rPr>
                <w:spacing w:val="-5"/>
                <w:sz w:val="20"/>
              </w:rPr>
              <w:t> </w:t>
            </w:r>
            <w:r>
              <w:rPr>
                <w:sz w:val="20"/>
              </w:rPr>
              <w:t>it</w:t>
            </w:r>
            <w:r>
              <w:rPr>
                <w:spacing w:val="-5"/>
                <w:sz w:val="20"/>
              </w:rPr>
              <w:t> </w:t>
            </w:r>
            <w:r>
              <w:rPr>
                <w:sz w:val="20"/>
              </w:rPr>
              <w:t>back</w:t>
            </w:r>
            <w:r>
              <w:rPr>
                <w:spacing w:val="-5"/>
                <w:sz w:val="20"/>
              </w:rPr>
              <w:t> </w:t>
            </w:r>
            <w:r>
              <w:rPr>
                <w:sz w:val="20"/>
              </w:rPr>
              <w:t>to</w:t>
            </w:r>
            <w:r>
              <w:rPr>
                <w:spacing w:val="-4"/>
                <w:sz w:val="20"/>
              </w:rPr>
              <w:t> </w:t>
            </w:r>
            <w:r>
              <w:rPr>
                <w:sz w:val="20"/>
              </w:rPr>
              <w:t>the</w:t>
            </w:r>
            <w:r>
              <w:rPr>
                <w:spacing w:val="-4"/>
                <w:sz w:val="20"/>
              </w:rPr>
              <w:t> </w:t>
            </w:r>
            <w:r>
              <w:rPr>
                <w:spacing w:val="-2"/>
                <w:sz w:val="20"/>
              </w:rPr>
              <w:t>SHBSL.</w:t>
            </w:r>
          </w:p>
          <w:p>
            <w:pPr>
              <w:pStyle w:val="TableParagraph"/>
              <w:spacing w:before="38"/>
              <w:ind w:left="109"/>
              <w:rPr>
                <w:sz w:val="20"/>
              </w:rPr>
            </w:pPr>
            <w:r>
              <w:rPr>
                <w:sz w:val="20"/>
              </w:rPr>
              <w:t>If</w:t>
            </w:r>
            <w:r>
              <w:rPr>
                <w:spacing w:val="-4"/>
                <w:sz w:val="20"/>
              </w:rPr>
              <w:t> </w:t>
            </w:r>
            <w:r>
              <w:rPr>
                <w:sz w:val="20"/>
              </w:rPr>
              <w:t>the</w:t>
            </w:r>
            <w:r>
              <w:rPr>
                <w:spacing w:val="-2"/>
                <w:sz w:val="20"/>
              </w:rPr>
              <w:t> </w:t>
            </w:r>
            <w:r>
              <w:rPr>
                <w:sz w:val="20"/>
              </w:rPr>
              <w:t>document</w:t>
            </w:r>
            <w:r>
              <w:rPr>
                <w:spacing w:val="-4"/>
                <w:sz w:val="20"/>
              </w:rPr>
              <w:t> </w:t>
            </w:r>
            <w:r>
              <w:rPr>
                <w:sz w:val="20"/>
              </w:rPr>
              <w:t>is</w:t>
            </w:r>
            <w:r>
              <w:rPr>
                <w:spacing w:val="-4"/>
                <w:sz w:val="20"/>
              </w:rPr>
              <w:t> </w:t>
            </w:r>
            <w:r>
              <w:rPr>
                <w:sz w:val="20"/>
              </w:rPr>
              <w:t>acceptable,</w:t>
            </w:r>
            <w:r>
              <w:rPr>
                <w:spacing w:val="-5"/>
                <w:sz w:val="20"/>
              </w:rPr>
              <w:t> </w:t>
            </w:r>
            <w:r>
              <w:rPr>
                <w:sz w:val="20"/>
              </w:rPr>
              <w:t>sends</w:t>
            </w:r>
            <w:r>
              <w:rPr>
                <w:spacing w:val="-5"/>
                <w:sz w:val="20"/>
              </w:rPr>
              <w:t> </w:t>
            </w:r>
            <w:r>
              <w:rPr>
                <w:sz w:val="20"/>
              </w:rPr>
              <w:t>an</w:t>
            </w:r>
            <w:r>
              <w:rPr>
                <w:spacing w:val="-5"/>
                <w:sz w:val="20"/>
              </w:rPr>
              <w:t> </w:t>
            </w:r>
            <w:r>
              <w:rPr>
                <w:sz w:val="20"/>
              </w:rPr>
              <w:t>approval</w:t>
            </w:r>
            <w:r>
              <w:rPr>
                <w:spacing w:val="-4"/>
                <w:sz w:val="20"/>
              </w:rPr>
              <w:t> </w:t>
            </w:r>
            <w:r>
              <w:rPr>
                <w:sz w:val="20"/>
              </w:rPr>
              <w:t>email</w:t>
            </w:r>
            <w:r>
              <w:rPr>
                <w:spacing w:val="-4"/>
                <w:sz w:val="20"/>
              </w:rPr>
              <w:t> </w:t>
            </w:r>
            <w:r>
              <w:rPr>
                <w:sz w:val="20"/>
              </w:rPr>
              <w:t>with</w:t>
            </w:r>
            <w:r>
              <w:rPr>
                <w:spacing w:val="-4"/>
                <w:sz w:val="20"/>
              </w:rPr>
              <w:t> </w:t>
            </w:r>
            <w:r>
              <w:rPr>
                <w:sz w:val="20"/>
              </w:rPr>
              <w:t>the document attached to the SHBSL and copies M1.</w:t>
            </w:r>
          </w:p>
        </w:tc>
        <w:tc>
          <w:tcPr>
            <w:tcW w:w="1843" w:type="dxa"/>
          </w:tcPr>
          <w:p>
            <w:pPr>
              <w:pStyle w:val="TableParagraph"/>
              <w:spacing w:before="38"/>
              <w:ind w:left="109"/>
              <w:rPr>
                <w:sz w:val="20"/>
              </w:rPr>
            </w:pPr>
            <w:r>
              <w:rPr>
                <w:sz w:val="20"/>
              </w:rPr>
              <w:t>Study Hub implementation</w:t>
            </w:r>
            <w:r>
              <w:rPr>
                <w:spacing w:val="-14"/>
                <w:sz w:val="20"/>
              </w:rPr>
              <w:t> </w:t>
            </w:r>
            <w:r>
              <w:rPr>
                <w:sz w:val="20"/>
              </w:rPr>
              <w:t>– prior to FPI</w:t>
            </w:r>
          </w:p>
        </w:tc>
      </w:tr>
      <w:tr>
        <w:trPr>
          <w:trHeight w:val="767" w:hRule="atLeast"/>
        </w:trPr>
        <w:tc>
          <w:tcPr>
            <w:tcW w:w="797" w:type="dxa"/>
          </w:tcPr>
          <w:p>
            <w:pPr>
              <w:pStyle w:val="TableParagraph"/>
              <w:spacing w:before="42"/>
              <w:ind w:left="115"/>
              <w:rPr>
                <w:sz w:val="20"/>
              </w:rPr>
            </w:pPr>
            <w:r>
              <w:rPr>
                <w:spacing w:val="-2"/>
                <w:sz w:val="20"/>
              </w:rPr>
              <w:t>6.1.5</w:t>
            </w:r>
          </w:p>
        </w:tc>
        <w:tc>
          <w:tcPr>
            <w:tcW w:w="1162" w:type="dxa"/>
          </w:tcPr>
          <w:p>
            <w:pPr>
              <w:pStyle w:val="TableParagraph"/>
              <w:spacing w:line="229" w:lineRule="exact"/>
              <w:ind w:left="110"/>
              <w:rPr>
                <w:sz w:val="20"/>
              </w:rPr>
            </w:pPr>
            <w:r>
              <w:rPr>
                <w:spacing w:val="-2"/>
                <w:sz w:val="20"/>
              </w:rPr>
              <w:t>SHBSL</w:t>
            </w:r>
          </w:p>
        </w:tc>
        <w:tc>
          <w:tcPr>
            <w:tcW w:w="6264" w:type="dxa"/>
          </w:tcPr>
          <w:p>
            <w:pPr>
              <w:pStyle w:val="TableParagraph"/>
              <w:spacing w:before="38"/>
              <w:ind w:left="109"/>
              <w:rPr>
                <w:sz w:val="20"/>
              </w:rPr>
            </w:pPr>
            <w:r>
              <w:rPr>
                <w:sz w:val="20"/>
              </w:rPr>
              <w:t>After</w:t>
            </w:r>
            <w:r>
              <w:rPr>
                <w:spacing w:val="-4"/>
                <w:sz w:val="20"/>
              </w:rPr>
              <w:t> </w:t>
            </w:r>
            <w:r>
              <w:rPr>
                <w:sz w:val="20"/>
              </w:rPr>
              <w:t>receiving</w:t>
            </w:r>
            <w:r>
              <w:rPr>
                <w:spacing w:val="-4"/>
                <w:sz w:val="20"/>
              </w:rPr>
              <w:t> </w:t>
            </w:r>
            <w:r>
              <w:rPr>
                <w:sz w:val="20"/>
              </w:rPr>
              <w:t>the</w:t>
            </w:r>
            <w:r>
              <w:rPr>
                <w:spacing w:val="-4"/>
                <w:sz w:val="20"/>
              </w:rPr>
              <w:t> </w:t>
            </w:r>
            <w:r>
              <w:rPr>
                <w:sz w:val="20"/>
              </w:rPr>
              <w:t>two</w:t>
            </w:r>
            <w:r>
              <w:rPr>
                <w:spacing w:val="-4"/>
                <w:sz w:val="20"/>
              </w:rPr>
              <w:t> </w:t>
            </w:r>
            <w:r>
              <w:rPr>
                <w:sz w:val="20"/>
              </w:rPr>
              <w:t>approvals</w:t>
            </w:r>
            <w:r>
              <w:rPr>
                <w:spacing w:val="-4"/>
                <w:sz w:val="20"/>
              </w:rPr>
              <w:t> </w:t>
            </w:r>
            <w:r>
              <w:rPr>
                <w:sz w:val="20"/>
              </w:rPr>
              <w:t>from</w:t>
            </w:r>
            <w:r>
              <w:rPr>
                <w:spacing w:val="-4"/>
                <w:sz w:val="20"/>
              </w:rPr>
              <w:t> </w:t>
            </w:r>
            <w:r>
              <w:rPr>
                <w:sz w:val="20"/>
              </w:rPr>
              <w:t>M1</w:t>
            </w:r>
            <w:r>
              <w:rPr>
                <w:spacing w:val="-4"/>
                <w:sz w:val="20"/>
              </w:rPr>
              <w:t> </w:t>
            </w:r>
            <w:r>
              <w:rPr>
                <w:sz w:val="20"/>
              </w:rPr>
              <w:t>&amp;</w:t>
            </w:r>
            <w:r>
              <w:rPr>
                <w:spacing w:val="-4"/>
                <w:sz w:val="20"/>
              </w:rPr>
              <w:t> </w:t>
            </w:r>
            <w:r>
              <w:rPr>
                <w:sz w:val="20"/>
              </w:rPr>
              <w:t>M2,</w:t>
            </w:r>
            <w:r>
              <w:rPr>
                <w:spacing w:val="-4"/>
                <w:sz w:val="20"/>
              </w:rPr>
              <w:t> </w:t>
            </w:r>
            <w:r>
              <w:rPr>
                <w:sz w:val="20"/>
              </w:rPr>
              <w:t>sends</w:t>
            </w:r>
            <w:r>
              <w:rPr>
                <w:spacing w:val="-2"/>
                <w:sz w:val="20"/>
              </w:rPr>
              <w:t> </w:t>
            </w:r>
            <w:r>
              <w:rPr>
                <w:sz w:val="20"/>
              </w:rPr>
              <w:t>an</w:t>
            </w:r>
            <w:r>
              <w:rPr>
                <w:spacing w:val="-5"/>
                <w:sz w:val="20"/>
              </w:rPr>
              <w:t> </w:t>
            </w:r>
            <w:r>
              <w:rPr>
                <w:sz w:val="20"/>
              </w:rPr>
              <w:t>approval email, with the Study Hub Strategic Document attached, to the DO and copies M1 &amp; M2.</w:t>
            </w:r>
          </w:p>
        </w:tc>
        <w:tc>
          <w:tcPr>
            <w:tcW w:w="1843" w:type="dxa"/>
          </w:tcPr>
          <w:p>
            <w:pPr>
              <w:pStyle w:val="TableParagraph"/>
              <w:spacing w:before="38"/>
              <w:ind w:left="109"/>
              <w:rPr>
                <w:sz w:val="20"/>
              </w:rPr>
            </w:pPr>
            <w:r>
              <w:rPr>
                <w:sz w:val="20"/>
              </w:rPr>
              <w:t>Study Hub implementation</w:t>
            </w:r>
            <w:r>
              <w:rPr>
                <w:spacing w:val="-14"/>
                <w:sz w:val="20"/>
              </w:rPr>
              <w:t> </w:t>
            </w:r>
            <w:r>
              <w:rPr>
                <w:sz w:val="20"/>
              </w:rPr>
              <w:t>– prior to FPI</w:t>
            </w:r>
          </w:p>
        </w:tc>
      </w:tr>
    </w:tbl>
    <w:p>
      <w:pPr>
        <w:spacing w:after="0"/>
        <w:rPr>
          <w:sz w:val="20"/>
        </w:rPr>
        <w:sectPr>
          <w:headerReference w:type="default" r:id="rId7"/>
          <w:footerReference w:type="default" r:id="rId8"/>
          <w:pgSz w:w="12240" w:h="15840"/>
          <w:pgMar w:header="979" w:footer="952" w:top="2760" w:bottom="1140" w:left="980" w:right="960"/>
          <w:pgNumType w:start="2"/>
        </w:sectPr>
      </w:pPr>
    </w:p>
    <w:p>
      <w:pPr>
        <w:pStyle w:val="BodyText"/>
        <w:spacing w:before="6"/>
        <w:rPr>
          <w:b/>
          <w:sz w:val="13"/>
        </w:rPr>
      </w:pPr>
    </w:p>
    <w:p>
      <w:pPr>
        <w:tabs>
          <w:tab w:pos="1179" w:val="left" w:leader="none"/>
        </w:tabs>
        <w:spacing w:before="94"/>
        <w:ind w:left="647" w:right="0" w:firstLine="0"/>
        <w:jc w:val="left"/>
        <w:rPr>
          <w:b/>
          <w:sz w:val="22"/>
        </w:rPr>
      </w:pPr>
      <w:bookmarkStart w:name="SUPPORTING DOCUMENTATION" w:id="13"/>
      <w:bookmarkEnd w:id="13"/>
      <w:r>
        <w:rPr/>
      </w:r>
      <w:r>
        <w:rPr>
          <w:b/>
          <w:spacing w:val="-5"/>
          <w:sz w:val="22"/>
        </w:rPr>
        <w:t>7.0</w:t>
      </w:r>
      <w:r>
        <w:rPr>
          <w:b/>
          <w:sz w:val="22"/>
        </w:rPr>
        <w:tab/>
        <w:t>SUPPORTING</w:t>
      </w:r>
      <w:r>
        <w:rPr>
          <w:b/>
          <w:spacing w:val="-11"/>
          <w:sz w:val="22"/>
        </w:rPr>
        <w:t> </w:t>
      </w:r>
      <w:r>
        <w:rPr>
          <w:b/>
          <w:spacing w:val="-2"/>
          <w:sz w:val="22"/>
        </w:rPr>
        <w:t>DOCUMENTATION</w:t>
      </w:r>
    </w:p>
    <w:p>
      <w:pPr>
        <w:pStyle w:val="BodyText"/>
        <w:rPr>
          <w:b/>
          <w:sz w:val="20"/>
        </w:rPr>
      </w:pPr>
    </w:p>
    <w:p>
      <w:pPr>
        <w:pStyle w:val="BodyText"/>
        <w:spacing w:before="6"/>
        <w:rPr>
          <w:b/>
          <w:sz w:val="23"/>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719" w:val="left" w:leader="none"/>
              </w:tabs>
              <w:spacing w:before="38"/>
              <w:ind w:left="0" w:right="792"/>
              <w:jc w:val="right"/>
              <w:rPr>
                <w:sz w:val="22"/>
              </w:rPr>
            </w:pPr>
            <w:r>
              <w:rPr>
                <w:b/>
                <w:spacing w:val="-5"/>
                <w:sz w:val="22"/>
              </w:rPr>
              <w:t>7.1</w:t>
            </w:r>
            <w:r>
              <w:rPr>
                <w:b/>
                <w:sz w:val="22"/>
              </w:rPr>
              <w:tab/>
            </w:r>
            <w:r>
              <w:rPr>
                <w:sz w:val="22"/>
              </w:rPr>
              <w:t>Not</w:t>
            </w:r>
            <w:r>
              <w:rPr>
                <w:spacing w:val="-5"/>
                <w:sz w:val="22"/>
              </w:rPr>
              <w:t> </w:t>
            </w:r>
            <w:r>
              <w:rPr>
                <w:spacing w:val="-2"/>
                <w:sz w:val="22"/>
              </w:rPr>
              <w:t>Applicable</w:t>
            </w:r>
          </w:p>
        </w:tc>
        <w:tc>
          <w:tcPr>
            <w:tcW w:w="6125" w:type="dxa"/>
          </w:tcPr>
          <w:p>
            <w:pPr>
              <w:pStyle w:val="TableParagraph"/>
              <w:ind w:left="0"/>
              <w:rPr>
                <w:rFonts w:ascii="Times New Roman"/>
                <w:sz w:val="20"/>
              </w:rPr>
            </w:pPr>
          </w:p>
        </w:tc>
      </w:tr>
      <w:tr>
        <w:trPr>
          <w:trHeight w:val="330" w:hRule="atLeast"/>
        </w:trPr>
        <w:tc>
          <w:tcPr>
            <w:tcW w:w="3778" w:type="dxa"/>
            <w:shd w:val="clear" w:color="auto" w:fill="D9D9D9"/>
          </w:tcPr>
          <w:p>
            <w:pPr>
              <w:pStyle w:val="TableParagraph"/>
              <w:spacing w:before="33"/>
              <w:ind w:left="71"/>
              <w:rPr>
                <w:b/>
                <w:sz w:val="22"/>
              </w:rPr>
            </w:pPr>
            <w:bookmarkStart w:name="External References" w:id="14"/>
            <w:bookmarkEnd w:id="14"/>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719" w:val="left" w:leader="none"/>
              </w:tabs>
              <w:spacing w:before="38"/>
              <w:ind w:left="0" w:right="792"/>
              <w:jc w:val="right"/>
              <w:rPr>
                <w:sz w:val="22"/>
              </w:rPr>
            </w:pPr>
            <w:r>
              <w:rPr>
                <w:b/>
                <w:spacing w:val="-5"/>
                <w:sz w:val="22"/>
              </w:rPr>
              <w:t>7.2</w:t>
            </w:r>
            <w:r>
              <w:rPr>
                <w:b/>
                <w:sz w:val="22"/>
              </w:rPr>
              <w:tab/>
            </w:r>
            <w:r>
              <w:rPr>
                <w:sz w:val="22"/>
              </w:rPr>
              <w:t>Not</w:t>
            </w:r>
            <w:r>
              <w:rPr>
                <w:spacing w:val="-5"/>
                <w:sz w:val="22"/>
              </w:rPr>
              <w:t> </w:t>
            </w:r>
            <w:r>
              <w:rPr>
                <w:spacing w:val="-2"/>
                <w:sz w:val="22"/>
              </w:rPr>
              <w:t>Applicable</w:t>
            </w:r>
          </w:p>
        </w:tc>
        <w:tc>
          <w:tcPr>
            <w:tcW w:w="6125" w:type="dxa"/>
          </w:tcPr>
          <w:p>
            <w:pPr>
              <w:pStyle w:val="TableParagraph"/>
              <w:ind w:left="0"/>
              <w:rPr>
                <w:rFonts w:ascii="Times New Roman"/>
                <w:sz w:val="20"/>
              </w:rPr>
            </w:pPr>
          </w:p>
        </w:tc>
      </w:tr>
    </w:tbl>
    <w:p>
      <w:pPr>
        <w:pStyle w:val="BodyText"/>
        <w:spacing w:before="5"/>
        <w:rPr>
          <w:b/>
          <w:sz w:val="12"/>
        </w:rPr>
      </w:pPr>
    </w:p>
    <w:p>
      <w:pPr>
        <w:pStyle w:val="ListParagraph"/>
        <w:numPr>
          <w:ilvl w:val="0"/>
          <w:numId w:val="2"/>
        </w:numPr>
        <w:tabs>
          <w:tab w:pos="1179" w:val="left" w:leader="none"/>
          <w:tab w:pos="1180" w:val="left" w:leader="none"/>
        </w:tabs>
        <w:spacing w:line="240" w:lineRule="auto" w:before="94" w:after="0"/>
        <w:ind w:left="1180" w:right="0" w:hanging="720"/>
        <w:jc w:val="left"/>
        <w:rPr>
          <w:b/>
          <w:sz w:val="22"/>
        </w:rPr>
      </w:pPr>
      <w:bookmarkStart w:name="SUPERSEDES" w:id="15"/>
      <w:bookmarkEnd w:id="15"/>
      <w:r>
        <w:rPr>
          <w:b/>
          <w:spacing w:val="-2"/>
          <w:sz w:val="22"/>
        </w:rPr>
        <w:t>SUPERSEDES</w:t>
      </w:r>
    </w:p>
    <w:p>
      <w:pPr>
        <w:pStyle w:val="BodyText"/>
        <w:rPr>
          <w:b/>
          <w:sz w:val="20"/>
        </w:rPr>
      </w:pPr>
    </w:p>
    <w:p>
      <w:pPr>
        <w:pStyle w:val="BodyText"/>
        <w:spacing w:before="8"/>
        <w:rPr>
          <w:b/>
          <w:sz w:val="12"/>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spacing w:before="38"/>
              <w:rPr>
                <w:sz w:val="22"/>
              </w:rPr>
            </w:pPr>
            <w:r>
              <w:rPr>
                <w:sz w:val="22"/>
              </w:rPr>
              <w:t>Not</w:t>
            </w:r>
            <w:r>
              <w:rPr>
                <w:spacing w:val="-3"/>
                <w:sz w:val="22"/>
              </w:rPr>
              <w:t> </w:t>
            </w:r>
            <w:r>
              <w:rPr>
                <w:spacing w:val="-2"/>
                <w:sz w:val="22"/>
              </w:rPr>
              <w:t>Applicable</w:t>
            </w:r>
          </w:p>
        </w:tc>
        <w:tc>
          <w:tcPr>
            <w:tcW w:w="3802" w:type="dxa"/>
          </w:tcPr>
          <w:p>
            <w:pPr>
              <w:pStyle w:val="TableParagraph"/>
              <w:spacing w:before="38"/>
              <w:rPr>
                <w:sz w:val="22"/>
              </w:rPr>
            </w:pPr>
            <w:r>
              <w:rPr>
                <w:sz w:val="22"/>
              </w:rPr>
              <w:t>Not</w:t>
            </w:r>
            <w:r>
              <w:rPr>
                <w:spacing w:val="-3"/>
                <w:sz w:val="22"/>
              </w:rPr>
              <w:t> </w:t>
            </w:r>
            <w:r>
              <w:rPr>
                <w:spacing w:val="-2"/>
                <w:sz w:val="22"/>
              </w:rPr>
              <w:t>Applicable</w:t>
            </w:r>
          </w:p>
        </w:tc>
        <w:tc>
          <w:tcPr>
            <w:tcW w:w="2338" w:type="dxa"/>
          </w:tcPr>
          <w:p>
            <w:pPr>
              <w:pStyle w:val="TableParagraph"/>
              <w:spacing w:before="38"/>
              <w:ind w:left="104"/>
              <w:rPr>
                <w:sz w:val="22"/>
              </w:rPr>
            </w:pPr>
            <w:r>
              <w:rPr>
                <w:sz w:val="22"/>
              </w:rPr>
              <w:t>Not</w:t>
            </w:r>
            <w:r>
              <w:rPr>
                <w:spacing w:val="-3"/>
                <w:sz w:val="22"/>
              </w:rPr>
              <w:t> </w:t>
            </w:r>
            <w:r>
              <w:rPr>
                <w:spacing w:val="-2"/>
                <w:sz w:val="22"/>
              </w:rPr>
              <w:t>Applicable</w:t>
            </w:r>
          </w:p>
        </w:tc>
      </w:tr>
    </w:tbl>
    <w:p>
      <w:pPr>
        <w:pStyle w:val="BodyText"/>
        <w:spacing w:before="6"/>
        <w:rPr>
          <w:b/>
          <w:sz w:val="20"/>
        </w:rPr>
      </w:pPr>
    </w:p>
    <w:p>
      <w:pPr>
        <w:pStyle w:val="ListParagraph"/>
        <w:numPr>
          <w:ilvl w:val="0"/>
          <w:numId w:val="2"/>
        </w:numPr>
        <w:tabs>
          <w:tab w:pos="1179" w:val="left" w:leader="none"/>
          <w:tab w:pos="1180" w:val="left" w:leader="none"/>
        </w:tabs>
        <w:spacing w:line="240" w:lineRule="auto" w:before="0" w:after="0"/>
        <w:ind w:left="1180" w:right="0" w:hanging="720"/>
        <w:jc w:val="left"/>
        <w:rPr>
          <w:b/>
          <w:sz w:val="22"/>
        </w:rPr>
      </w:pPr>
      <w:bookmarkStart w:name="MODIFICATION FROM PREVIOUS REVISION" w:id="16"/>
      <w:bookmarkEnd w:id="16"/>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7" w:after="1"/>
        <w:rPr>
          <w:b/>
          <w:sz w:val="12"/>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6"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316" w:hRule="atLeast"/>
        </w:trPr>
        <w:tc>
          <w:tcPr>
            <w:tcW w:w="3298" w:type="dxa"/>
          </w:tcPr>
          <w:p>
            <w:pPr>
              <w:pStyle w:val="TableParagraph"/>
              <w:spacing w:before="28"/>
              <w:ind w:left="110"/>
              <w:rPr>
                <w:sz w:val="22"/>
              </w:rPr>
            </w:pPr>
            <w:r>
              <w:rPr>
                <w:sz w:val="22"/>
              </w:rPr>
              <w:t>This</w:t>
            </w:r>
            <w:r>
              <w:rPr>
                <w:spacing w:val="-4"/>
                <w:sz w:val="22"/>
              </w:rPr>
              <w:t> </w:t>
            </w:r>
            <w:r>
              <w:rPr>
                <w:sz w:val="22"/>
              </w:rPr>
              <w:t>is</w:t>
            </w:r>
            <w:r>
              <w:rPr>
                <w:spacing w:val="-3"/>
                <w:sz w:val="22"/>
              </w:rPr>
              <w:t> </w:t>
            </w:r>
            <w:r>
              <w:rPr>
                <w:sz w:val="22"/>
              </w:rPr>
              <w:t>a</w:t>
            </w:r>
            <w:r>
              <w:rPr>
                <w:spacing w:val="-2"/>
                <w:sz w:val="22"/>
              </w:rPr>
              <w:t> </w:t>
            </w:r>
            <w:r>
              <w:rPr>
                <w:sz w:val="22"/>
              </w:rPr>
              <w:t>New</w:t>
            </w:r>
            <w:r>
              <w:rPr>
                <w:spacing w:val="-2"/>
                <w:sz w:val="22"/>
              </w:rPr>
              <w:t> Document</w:t>
            </w:r>
          </w:p>
        </w:tc>
        <w:tc>
          <w:tcPr>
            <w:tcW w:w="3298" w:type="dxa"/>
          </w:tcPr>
          <w:p>
            <w:pPr>
              <w:pStyle w:val="TableParagraph"/>
              <w:spacing w:before="28"/>
              <w:ind w:left="109"/>
              <w:rPr>
                <w:sz w:val="22"/>
              </w:rPr>
            </w:pPr>
            <w:r>
              <w:rPr>
                <w:sz w:val="22"/>
              </w:rPr>
              <w:t>Not</w:t>
            </w:r>
            <w:r>
              <w:rPr>
                <w:spacing w:val="-3"/>
                <w:sz w:val="22"/>
              </w:rPr>
              <w:t> </w:t>
            </w:r>
            <w:r>
              <w:rPr>
                <w:spacing w:val="-2"/>
                <w:sz w:val="22"/>
              </w:rPr>
              <w:t>Applicable</w:t>
            </w:r>
          </w:p>
        </w:tc>
        <w:tc>
          <w:tcPr>
            <w:tcW w:w="3303" w:type="dxa"/>
          </w:tcPr>
          <w:p>
            <w:pPr>
              <w:pStyle w:val="TableParagraph"/>
              <w:spacing w:before="28"/>
              <w:ind w:left="109"/>
              <w:rPr>
                <w:sz w:val="22"/>
              </w:rPr>
            </w:pPr>
            <w:r>
              <w:rPr>
                <w:sz w:val="22"/>
              </w:rPr>
              <w:t>New</w:t>
            </w:r>
            <w:r>
              <w:rPr>
                <w:spacing w:val="-2"/>
                <w:sz w:val="22"/>
              </w:rPr>
              <w:t> process</w:t>
            </w:r>
          </w:p>
        </w:tc>
      </w:tr>
    </w:tbl>
    <w:p>
      <w:pPr>
        <w:pStyle w:val="BodyText"/>
        <w:spacing w:before="5"/>
        <w:rPr>
          <w:b/>
          <w:sz w:val="20"/>
        </w:rPr>
      </w:pPr>
    </w:p>
    <w:p>
      <w:pPr>
        <w:pStyle w:val="ListParagraph"/>
        <w:numPr>
          <w:ilvl w:val="0"/>
          <w:numId w:val="2"/>
        </w:numPr>
        <w:tabs>
          <w:tab w:pos="1179" w:val="left" w:leader="none"/>
          <w:tab w:pos="1180" w:val="left" w:leader="none"/>
        </w:tabs>
        <w:spacing w:line="240" w:lineRule="auto" w:before="0" w:after="0"/>
        <w:ind w:left="1180" w:right="0" w:hanging="720"/>
        <w:jc w:val="left"/>
        <w:rPr>
          <w:b/>
          <w:sz w:val="22"/>
        </w:rPr>
      </w:pPr>
      <w:bookmarkStart w:name="APPENDICES" w:id="17"/>
      <w:bookmarkEnd w:id="17"/>
      <w:r>
        <w:rPr>
          <w:b/>
          <w:spacing w:val="-2"/>
          <w:sz w:val="22"/>
        </w:rPr>
        <w:t>APPENDICES</w:t>
      </w:r>
    </w:p>
    <w:p>
      <w:pPr>
        <w:pStyle w:val="BodyText"/>
        <w:spacing w:before="126"/>
        <w:ind w:left="118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r>
        <w:rPr/>
      </w:r>
    </w:p>
    <w:p>
      <w:pPr>
        <w:spacing w:line="183" w:lineRule="exact" w:before="18"/>
        <w:ind w:left="4684" w:right="0" w:firstLine="0"/>
        <w:jc w:val="left"/>
        <w:rPr>
          <w:sz w:val="16"/>
        </w:rPr>
      </w:pPr>
      <w:r>
        <w:rPr>
          <w:sz w:val="16"/>
        </w:rPr>
        <w:t>Page</w:t>
      </w:r>
      <w:r>
        <w:rPr>
          <w:spacing w:val="-2"/>
          <w:sz w:val="16"/>
        </w:rPr>
        <w:t> </w:t>
      </w:r>
      <w:r>
        <w:rPr>
          <w:sz w:val="16"/>
        </w:rPr>
        <w:t>3</w:t>
      </w:r>
      <w:r>
        <w:rPr>
          <w:spacing w:val="-4"/>
          <w:sz w:val="16"/>
        </w:rPr>
        <w:t> </w:t>
      </w:r>
      <w:r>
        <w:rPr>
          <w:sz w:val="16"/>
        </w:rPr>
        <w:t>of</w:t>
      </w:r>
      <w:r>
        <w:rPr>
          <w:spacing w:val="-3"/>
          <w:sz w:val="16"/>
        </w:rPr>
        <w:t> </w:t>
      </w:r>
      <w:r>
        <w:rPr>
          <w:spacing w:val="-10"/>
          <w:sz w:val="16"/>
        </w:rPr>
        <w:t>3</w:t>
      </w:r>
    </w:p>
    <w:p>
      <w:pPr>
        <w:spacing w:line="244" w:lineRule="auto" w:before="0"/>
        <w:ind w:left="368" w:right="547" w:firstLine="0"/>
        <w:jc w:val="left"/>
        <w:rPr>
          <w:sz w:val="16"/>
        </w:rPr>
      </w:pPr>
      <w:r>
        <w:rPr>
          <w:sz w:val="16"/>
        </w:rPr>
        <w:t>Copyright</w:t>
      </w:r>
      <w:r>
        <w:rPr>
          <w:spacing w:val="-2"/>
          <w:sz w:val="16"/>
        </w:rPr>
        <w:t> </w:t>
      </w:r>
      <w:r>
        <w:rPr>
          <w:sz w:val="16"/>
        </w:rPr>
        <w:t>©</w:t>
      </w:r>
      <w:r>
        <w:rPr>
          <w:spacing w:val="-4"/>
          <w:sz w:val="16"/>
        </w:rPr>
        <w:t> </w:t>
      </w:r>
      <w:r>
        <w:rPr>
          <w:sz w:val="16"/>
        </w:rPr>
        <w:t>2021</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line="244" w:lineRule="auto"/>
        <w:jc w:val="left"/>
        <w:rPr>
          <w:sz w:val="16"/>
        </w:rPr>
        <w:sectPr>
          <w:headerReference w:type="default" r:id="rId9"/>
          <w:footerReference w:type="default" r:id="rId10"/>
          <w:pgSz w:w="12240" w:h="15840"/>
          <w:pgMar w:header="979" w:footer="268" w:top="2760" w:bottom="460" w:left="980" w:right="960"/>
        </w:sectPr>
      </w:pPr>
    </w:p>
    <w:p>
      <w:pPr>
        <w:spacing w:line="321" w:lineRule="exact" w:before="79"/>
        <w:ind w:left="528" w:right="518" w:firstLine="0"/>
        <w:jc w:val="center"/>
        <w:rPr>
          <w:sz w:val="28"/>
        </w:rPr>
      </w:pPr>
      <w:r>
        <w:rPr/>
      </w:r>
      <w:bookmarkStart w:name="261603714_2_0_sgTemplateFile.pdf" w:id="18"/>
      <w:bookmarkEnd w:id="18"/>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28" w:right="5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28" w:right="5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10" w:right="5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before="0"/>
        <w:ind w:left="660" w:right="0" w:firstLine="0"/>
        <w:jc w:val="left"/>
        <w:rPr>
          <w:sz w:val="20"/>
        </w:rPr>
      </w:pPr>
      <w:r>
        <w:rPr>
          <w:sz w:val="20"/>
        </w:rPr>
        <w:t>UserName:</w:t>
      </w:r>
      <w:r>
        <w:rPr>
          <w:spacing w:val="-4"/>
          <w:sz w:val="20"/>
        </w:rPr>
        <w:t> </w:t>
      </w:r>
      <w:r>
        <w:rPr>
          <w:sz w:val="20"/>
        </w:rPr>
        <w:t>MODI,</w:t>
      </w:r>
      <w:r>
        <w:rPr>
          <w:spacing w:val="-3"/>
          <w:sz w:val="20"/>
        </w:rPr>
        <w:t> </w:t>
      </w:r>
      <w:r>
        <w:rPr>
          <w:sz w:val="20"/>
        </w:rPr>
        <w:t>RASHI</w:t>
      </w:r>
      <w:r>
        <w:rPr>
          <w:spacing w:val="49"/>
          <w:sz w:val="20"/>
        </w:rPr>
        <w:t> </w:t>
      </w:r>
      <w:r>
        <w:rPr>
          <w:spacing w:val="-2"/>
          <w:sz w:val="20"/>
        </w:rPr>
        <w:t>(u1092215)</w:t>
      </w:r>
    </w:p>
    <w:p>
      <w:pPr>
        <w:spacing w:before="10"/>
        <w:ind w:left="660" w:right="0" w:firstLine="0"/>
        <w:jc w:val="left"/>
        <w:rPr>
          <w:sz w:val="20"/>
        </w:rPr>
      </w:pPr>
      <w:r>
        <w:rPr>
          <w:spacing w:val="-2"/>
          <w:sz w:val="20"/>
        </w:rPr>
        <w:t>Title:</w:t>
      </w:r>
    </w:p>
    <w:p>
      <w:pPr>
        <w:spacing w:line="249" w:lineRule="auto" w:before="10"/>
        <w:ind w:left="660" w:right="3608" w:firstLine="0"/>
        <w:jc w:val="left"/>
        <w:rPr>
          <w:sz w:val="20"/>
        </w:rPr>
      </w:pPr>
      <w:r>
        <w:rPr>
          <w:sz w:val="20"/>
        </w:rPr>
        <w:t>Date:</w:t>
      </w:r>
      <w:r>
        <w:rPr>
          <w:spacing w:val="-5"/>
          <w:sz w:val="20"/>
        </w:rPr>
        <w:t> </w:t>
      </w:r>
      <w:r>
        <w:rPr>
          <w:sz w:val="20"/>
        </w:rPr>
        <w:t>Thursday,</w:t>
      </w:r>
      <w:r>
        <w:rPr>
          <w:spacing w:val="-4"/>
          <w:sz w:val="20"/>
        </w:rPr>
        <w:t> </w:t>
      </w:r>
      <w:r>
        <w:rPr>
          <w:sz w:val="20"/>
        </w:rPr>
        <w:t>28</w:t>
      </w:r>
      <w:r>
        <w:rPr>
          <w:spacing w:val="-5"/>
          <w:sz w:val="20"/>
        </w:rPr>
        <w:t> </w:t>
      </w:r>
      <w:r>
        <w:rPr>
          <w:sz w:val="20"/>
        </w:rPr>
        <w:t>October</w:t>
      </w:r>
      <w:r>
        <w:rPr>
          <w:spacing w:val="-4"/>
          <w:sz w:val="20"/>
        </w:rPr>
        <w:t> </w:t>
      </w:r>
      <w:r>
        <w:rPr>
          <w:sz w:val="20"/>
        </w:rPr>
        <w:t>2021,</w:t>
      </w:r>
      <w:r>
        <w:rPr>
          <w:spacing w:val="-5"/>
          <w:sz w:val="20"/>
        </w:rPr>
        <w:t> </w:t>
      </w:r>
      <w:r>
        <w:rPr>
          <w:sz w:val="20"/>
        </w:rPr>
        <w:t>08:30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660" w:right="5688" w:firstLine="0"/>
        <w:jc w:val="left"/>
        <w:rPr>
          <w:sz w:val="20"/>
        </w:rPr>
      </w:pPr>
      <w:r>
        <w:rPr>
          <w:sz w:val="20"/>
        </w:rPr>
        <w:t>UserName:</w:t>
      </w:r>
      <w:r>
        <w:rPr>
          <w:spacing w:val="-11"/>
          <w:sz w:val="20"/>
        </w:rPr>
        <w:t> </w:t>
      </w:r>
      <w:r>
        <w:rPr>
          <w:sz w:val="20"/>
        </w:rPr>
        <w:t>Hosmer,</w:t>
      </w:r>
      <w:r>
        <w:rPr>
          <w:spacing w:val="-11"/>
          <w:sz w:val="20"/>
        </w:rPr>
        <w:t> </w:t>
      </w:r>
      <w:r>
        <w:rPr>
          <w:sz w:val="20"/>
        </w:rPr>
        <w:t>Michael</w:t>
      </w:r>
      <w:r>
        <w:rPr>
          <w:spacing w:val="37"/>
          <w:sz w:val="20"/>
        </w:rPr>
        <w:t> </w:t>
      </w:r>
      <w:r>
        <w:rPr>
          <w:sz w:val="20"/>
        </w:rPr>
        <w:t>(q841900) </w:t>
      </w:r>
      <w:r>
        <w:rPr>
          <w:spacing w:val="-2"/>
          <w:sz w:val="20"/>
        </w:rPr>
        <w:t>Title:</w:t>
      </w:r>
    </w:p>
    <w:p>
      <w:pPr>
        <w:spacing w:line="249" w:lineRule="auto" w:before="2"/>
        <w:ind w:left="660" w:right="3608" w:firstLine="0"/>
        <w:jc w:val="left"/>
        <w:rPr>
          <w:sz w:val="20"/>
        </w:rPr>
      </w:pPr>
      <w:r>
        <w:rPr>
          <w:sz w:val="20"/>
        </w:rPr>
        <w:t>Date:</w:t>
      </w:r>
      <w:r>
        <w:rPr>
          <w:spacing w:val="-5"/>
          <w:sz w:val="20"/>
        </w:rPr>
        <w:t> </w:t>
      </w:r>
      <w:r>
        <w:rPr>
          <w:sz w:val="20"/>
        </w:rPr>
        <w:t>Thursday,</w:t>
      </w:r>
      <w:r>
        <w:rPr>
          <w:spacing w:val="-4"/>
          <w:sz w:val="20"/>
        </w:rPr>
        <w:t> </w:t>
      </w:r>
      <w:r>
        <w:rPr>
          <w:sz w:val="20"/>
        </w:rPr>
        <w:t>28</w:t>
      </w:r>
      <w:r>
        <w:rPr>
          <w:spacing w:val="-5"/>
          <w:sz w:val="20"/>
        </w:rPr>
        <w:t> </w:t>
      </w:r>
      <w:r>
        <w:rPr>
          <w:sz w:val="20"/>
        </w:rPr>
        <w:t>October</w:t>
      </w:r>
      <w:r>
        <w:rPr>
          <w:spacing w:val="-4"/>
          <w:sz w:val="20"/>
        </w:rPr>
        <w:t> </w:t>
      </w:r>
      <w:r>
        <w:rPr>
          <w:sz w:val="20"/>
        </w:rPr>
        <w:t>2021,</w:t>
      </w:r>
      <w:r>
        <w:rPr>
          <w:spacing w:val="-5"/>
          <w:sz w:val="20"/>
        </w:rPr>
        <w:t> </w:t>
      </w:r>
      <w:r>
        <w:rPr>
          <w:sz w:val="20"/>
        </w:rPr>
        <w:t>11:20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15" w:right="0" w:firstLine="0"/>
        <w:jc w:val="left"/>
        <w:rPr>
          <w:sz w:val="20"/>
        </w:rPr>
      </w:pPr>
      <w:r>
        <w:rPr>
          <w:spacing w:val="-2"/>
          <w:sz w:val="20"/>
        </w:rPr>
        <w:t>================================================</w:t>
      </w:r>
    </w:p>
    <w:sectPr>
      <w:headerReference w:type="default" r:id="rId11"/>
      <w:footerReference w:type="default" r:id="rId12"/>
      <w:pgSz w:w="12240" w:h="15840"/>
      <w:pgMar w:header="0" w:footer="268" w:top="1360" w:bottom="46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8"/>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092" w:hanging="720"/>
      </w:pPr>
      <w:rPr>
        <w:rFonts w:hint="default"/>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0">
    <w:multiLevelType w:val="hybridMultilevel"/>
    <w:lvl w:ilvl="0">
      <w:start w:val="1"/>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833" w:hanging="720"/>
      </w:pPr>
      <w:rPr>
        <w:rFonts w:hint="default"/>
        <w:lang w:val="en-US" w:eastAsia="en-US" w:bidi="ar-SA"/>
      </w:rPr>
    </w:lvl>
    <w:lvl w:ilvl="3">
      <w:start w:val="0"/>
      <w:numFmt w:val="bullet"/>
      <w:lvlText w:val="•"/>
      <w:lvlJc w:val="left"/>
      <w:pPr>
        <w:ind w:left="3766" w:hanging="720"/>
      </w:pPr>
      <w:rPr>
        <w:rFonts w:hint="default"/>
        <w:lang w:val="en-US" w:eastAsia="en-US" w:bidi="ar-SA"/>
      </w:rPr>
    </w:lvl>
    <w:lvl w:ilvl="4">
      <w:start w:val="0"/>
      <w:numFmt w:val="bullet"/>
      <w:lvlText w:val="•"/>
      <w:lvlJc w:val="left"/>
      <w:pPr>
        <w:ind w:left="4700" w:hanging="720"/>
      </w:pPr>
      <w:rPr>
        <w:rFonts w:hint="default"/>
        <w:lang w:val="en-US" w:eastAsia="en-US" w:bidi="ar-SA"/>
      </w:rPr>
    </w:lvl>
    <w:lvl w:ilvl="5">
      <w:start w:val="0"/>
      <w:numFmt w:val="bullet"/>
      <w:lvlText w:val="•"/>
      <w:lvlJc w:val="left"/>
      <w:pPr>
        <w:ind w:left="5633" w:hanging="720"/>
      </w:pPr>
      <w:rPr>
        <w:rFonts w:hint="default"/>
        <w:lang w:val="en-US" w:eastAsia="en-US" w:bidi="ar-SA"/>
      </w:rPr>
    </w:lvl>
    <w:lvl w:ilvl="6">
      <w:start w:val="0"/>
      <w:numFmt w:val="bullet"/>
      <w:lvlText w:val="•"/>
      <w:lvlJc w:val="left"/>
      <w:pPr>
        <w:ind w:left="6566" w:hanging="720"/>
      </w:pPr>
      <w:rPr>
        <w:rFonts w:hint="default"/>
        <w:lang w:val="en-US" w:eastAsia="en-US" w:bidi="ar-SA"/>
      </w:rPr>
    </w:lvl>
    <w:lvl w:ilvl="7">
      <w:start w:val="0"/>
      <w:numFmt w:val="bullet"/>
      <w:lvlText w:val="•"/>
      <w:lvlJc w:val="left"/>
      <w:pPr>
        <w:ind w:left="7500" w:hanging="720"/>
      </w:pPr>
      <w:rPr>
        <w:rFonts w:hint="default"/>
        <w:lang w:val="en-US" w:eastAsia="en-US" w:bidi="ar-SA"/>
      </w:rPr>
    </w:lvl>
    <w:lvl w:ilvl="8">
      <w:start w:val="0"/>
      <w:numFmt w:val="bullet"/>
      <w:lvlText w:val="•"/>
      <w:lvlJc w:val="left"/>
      <w:pPr>
        <w:ind w:left="8433"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ListParagraph" w:type="paragraph">
    <w:name w:val="List Paragraph"/>
    <w:basedOn w:val="Normal"/>
    <w:uiPriority w:val="1"/>
    <w:qFormat/>
    <w:pPr>
      <w:ind w:left="118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image" Target="media/image2.png"/><Relationship Id="rId14" Type="http://schemas.openxmlformats.org/officeDocument/2006/relationships/numbering" Target="numbering.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261603714_2_0_sgMainFile.pdf</dc:title>
  <dcterms:created xsi:type="dcterms:W3CDTF">2023-04-11T14:58:43Z</dcterms:created>
  <dcterms:modified xsi:type="dcterms:W3CDTF">2023-04-11T14:58:43Z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2021-10-28T00:00:00Z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