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B4F8A"/>
          <w:sz w:val="52"/>
          <w:szCs w:val="52"/>
        </w:rPr>
        <w:t xml:space="preserve">Robo DeFi Advisor (RDA)</w:t>
      </w:r>
    </w:p>
    <w:p>
      <w:pPr>
        <w:spacing w:before="0" w:after="60"/>
        <w:jc w:val="center"/>
      </w:pPr>
      <w:r>
        <w:rPr>
          <w:rFonts w:ascii="Arial" w:cs="Arial" w:eastAsia="Arial" w:hAnsi="Arial"/>
          <w:color w:val="0F6E56"/>
          <w:sz w:val="30"/>
          <w:szCs w:val="30"/>
        </w:rPr>
        <w:t xml:space="preserve">DAO Treasury Management Module</w:t>
      </w:r>
    </w:p>
    <w:p>
      <w:pPr>
        <w:spacing w:before="0" w:after="360"/>
        <w:jc w:val="center"/>
      </w:pPr>
      <w:r>
        <w:rPr>
          <w:rFonts w:ascii="Arial" w:cs="Arial" w:eastAsia="Arial" w:hAnsi="Arial"/>
          <w:color w:val="777777"/>
          <w:sz w:val="20"/>
          <w:szCs w:val="20"/>
        </w:rPr>
        <w:t xml:space="preserve">Product Summary  ·  Implementation Details  ·  Risk Analysis  ·  Competitive Landscape</w:t>
      </w:r>
    </w:p>
    <w:p>
      <w:pPr>
        <w:pStyle w:val="Heading1"/>
        <w:pBdr>
          <w:bottom w:val="single" w:color="1B4F8A" w:sz="6" w:space="4"/>
        </w:pBdr>
        <w:spacing w:before="320" w:after="160"/>
      </w:pPr>
      <w:r>
        <w:rPr>
          <w:rFonts w:ascii="Arial" w:cs="Arial" w:eastAsia="Arial" w:hAnsi="Arial"/>
          <w:b/>
          <w:bCs/>
          <w:color w:val="1B4F8A"/>
          <w:sz w:val="32"/>
          <w:szCs w:val="32"/>
        </w:rPr>
        <w:t xml:space="preserve">Executive Summary</w:t>
      </w:r>
    </w:p>
    <w:p>
      <w:pPr>
        <w:spacing w:before="80" w:after="80"/>
      </w:pPr>
      <w:r>
        <w:rPr>
          <w:rFonts w:ascii="Arial" w:cs="Arial" w:eastAsia="Arial" w:hAnsi="Arial"/>
          <w:b w:val="false"/>
          <w:bCs w:val="false"/>
          <w:color w:val="222222"/>
          <w:sz w:val="22"/>
          <w:szCs w:val="22"/>
        </w:rPr>
        <w:t xml:space="preserve">RDA's DAO Treasury Management module is an autonomous, AI-powered yield optimization layer for Web3 treasuries. DAOs collectively hold over $20 billion in idle stablecoins earning 0% yield — not from lack of intent, but because the allocation pipeline (research, proposal, vote, execution) takes 5–10 days and requires deep DeFi expertise. RDA eliminates this friction by translating plain-English treasury policy into scored pool recommendations, governance-ready proposals, and — within pre-approved parameters — direct on-chain execution in minutes.</w:t>
      </w:r>
    </w:p>
    <w:p>
      <w:pPr>
        <w:spacing w:before="80" w:after="0"/>
      </w:pPr>
      <w:r>
        <w:t xml:space="preserve"/>
      </w:r>
    </w:p>
    <w:p>
      <w:pPr>
        <w:spacing w:before="80" w:after="80"/>
      </w:pPr>
      <w:r>
        <w:rPr>
          <w:rFonts w:ascii="Arial" w:cs="Arial" w:eastAsia="Arial" w:hAnsi="Arial"/>
          <w:b w:val="false"/>
          <w:bCs w:val="false"/>
          <w:color w:val="222222"/>
          <w:sz w:val="22"/>
          <w:szCs w:val="22"/>
        </w:rPr>
        <w:t xml:space="preserve">Built on the ASI stack (uAgents, Agentverse, Fetch Network, MeTTa), RDA operates as a continuously running agent network rather than a one-shot API, enabling real-time monitoring and proactive rebalancing that no manual process can match.</w:t>
      </w:r>
    </w:p>
    <w:p>
      <w:pPr>
        <w:spacing w:before="200" w:after="0"/>
      </w:pPr>
      <w:r>
        <w:t xml:space="preserve"/>
      </w:r>
    </w:p>
    <w:p>
      <w:pPr>
        <w:pStyle w:val="Heading1"/>
        <w:pBdr>
          <w:bottom w:val="single" w:color="1B4F8A" w:sz="6" w:space="4"/>
        </w:pBdr>
        <w:spacing w:before="320" w:after="160"/>
      </w:pPr>
      <w:r>
        <w:rPr>
          <w:rFonts w:ascii="Arial" w:cs="Arial" w:eastAsia="Arial" w:hAnsi="Arial"/>
          <w:b/>
          <w:bCs/>
          <w:color w:val="1B4F8A"/>
          <w:sz w:val="32"/>
          <w:szCs w:val="32"/>
        </w:rPr>
        <w:t xml:space="preserve">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Pain point</w:t>
            </w:r>
          </w:p>
        </w:tc>
        <w:tc>
          <w:tcPr>
            <w:tcW w:type="dxa" w:w="6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Idle capital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Most DAO treasuries hold stablecoins in a Safe wallet earning 0% while DeFi pools offer 4–12% APY on the same assets.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Governance lag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Snapshot vote + multi-sig execution cycle takes 5–10 days. Market conditions and APY rates shift within hours.</w:t>
            </w:r>
          </w:p>
        </w:tc>
      </w:tr>
      <w:tr>
        <w:tc>
          <w:tcPr>
            <w:tcW w:type="dxa" w:w="312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Technical barrier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Evaluating protocol safety, TVL depth, audit status, and smart contract risk requires expertise most DAO contributors lack.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 monitoring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Once allocated, positions drift silently. TVL collapses, APY falls, or protocol risk increases — no one is watching 24/7.</w:t>
            </w:r>
          </w:p>
        </w:tc>
      </w:tr>
    </w:tbl>
    <w:p>
      <w:pPr>
        <w:spacing w:before="200" w:after="0"/>
      </w:pPr>
      <w:r>
        <w:t xml:space="preserve"/>
      </w:r>
    </w:p>
    <w:p>
      <w:pPr>
        <w:pStyle w:val="Heading1"/>
        <w:pBdr>
          <w:bottom w:val="single" w:color="1B4F8A" w:sz="6" w:space="4"/>
        </w:pBdr>
        <w:spacing w:before="320" w:after="160"/>
      </w:pPr>
      <w:r>
        <w:rPr>
          <w:rFonts w:ascii="Arial" w:cs="Arial" w:eastAsia="Arial" w:hAnsi="Arial"/>
          <w:b/>
          <w:bCs/>
          <w:color w:val="1B4F8A"/>
          <w:sz w:val="32"/>
          <w:szCs w:val="32"/>
        </w:rPr>
        <w:t xml:space="preserve">The Solution: How RDA Works</w:t>
      </w:r>
    </w:p>
    <w:p>
      <w:pPr>
        <w:pStyle w:val="Heading2"/>
        <w:spacing w:before="240" w:after="120"/>
      </w:pPr>
      <w:r>
        <w:rPr>
          <w:rFonts w:ascii="Arial" w:cs="Arial" w:eastAsia="Arial" w:hAnsi="Arial"/>
          <w:b/>
          <w:bCs/>
          <w:color w:val="0F6E56"/>
          <w:sz w:val="26"/>
          <w:szCs w:val="26"/>
        </w:rPr>
        <w:t xml:space="preserve">Liquidity Tiering (Solving the Emergency Funds Problem)</w:t>
      </w:r>
    </w:p>
    <w:p>
      <w:pPr>
        <w:spacing w:before="80" w:after="80"/>
      </w:pPr>
      <w:r>
        <w:rPr>
          <w:rFonts w:ascii="Arial" w:cs="Arial" w:eastAsia="Arial" w:hAnsi="Arial"/>
          <w:b w:val="false"/>
          <w:bCs w:val="false"/>
          <w:color w:val="222222"/>
          <w:sz w:val="22"/>
          <w:szCs w:val="22"/>
        </w:rPr>
        <w:t xml:space="preserve">RDA never treats a treasury as a single pool. At setup, the DAO defines three constitutional tiers that RDA enforces at all times: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400"/>
        <w:gridCol w:w="3200"/>
      </w:tblGrid>
      <w:tr>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Size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RDA scope</w:t>
            </w:r>
          </w:p>
        </w:tc>
      </w:tr>
      <w:tr>
        <w:tc>
          <w:tcPr>
            <w:tcW w:type="dxa" w:w="15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 — Emergency</w:t>
            </w:r>
          </w:p>
        </w:tc>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of treasury</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Instant (Safe wallet)</w:t>
            </w:r>
          </w:p>
        </w:tc>
        <w:tc>
          <w:tcPr>
            <w:tcW w:type="dxa" w:w="3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Constitutionally locked — RDA cannot touch</w:t>
            </w:r>
          </w:p>
        </w:tc>
      </w:tr>
      <w:tr>
        <w:tc>
          <w:tcPr>
            <w:tcW w:type="dxa" w:w="1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 — Operational</w:t>
            </w:r>
          </w:p>
        </w:tc>
        <w:tc>
          <w:tcPr>
            <w:tcW w:type="dxa" w:w="2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of treasury</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24–72h withdrawal</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Liquid pools only (Aave aTokens, Compound cTokens)</w:t>
            </w:r>
          </w:p>
        </w:tc>
      </w:tr>
      <w:tr>
        <w:tc>
          <w:tcPr>
            <w:tcW w:type="dxa" w:w="156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 — Yield surplus</w:t>
            </w:r>
          </w:p>
        </w:tc>
        <w:tc>
          <w:tcPr>
            <w:tcW w:type="dxa" w:w="22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 of treasury</w:t>
            </w:r>
          </w:p>
        </w:tc>
        <w:tc>
          <w:tcPr>
            <w:tcW w:type="dxa" w:w="24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7–30 day window</w:t>
            </w:r>
          </w:p>
        </w:tc>
        <w:tc>
          <w:tcPr>
            <w:tcW w:type="dxa" w:w="32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RDA-optimised: Curve, Convex, Yearn, etc.</w:t>
            </w:r>
          </w:p>
        </w:tc>
      </w:tr>
    </w:tbl>
    <w:p>
      <w:pPr>
        <w:spacing w:before="100" w:after="0"/>
      </w:pPr>
      <w:r>
        <w:t xml:space="preserve"/>
      </w:r>
    </w:p>
    <w:p>
      <w:pPr>
        <w:spacing w:before="80" w:after="80"/>
      </w:pPr>
      <w:r>
        <w:rPr>
          <w:rFonts w:ascii="Arial" w:cs="Arial" w:eastAsia="Arial" w:hAnsi="Arial"/>
          <w:b w:val="false"/>
          <w:bCs w:val="false"/>
          <w:color w:val="222222"/>
          <w:sz w:val="22"/>
          <w:szCs w:val="22"/>
        </w:rPr>
        <w:t xml:space="preserve">Tier 1 is a hard rule written into the policy config — not a soft guideline. RDA's scoring engine physically cannot propose allocations from that bucket.</w:t>
      </w:r>
    </w:p>
    <w:p>
      <w:pPr>
        <w:spacing w:before="160" w:after="0"/>
      </w:pPr>
      <w:r>
        <w:t xml:space="preserve"/>
      </w:r>
    </w:p>
    <w:p>
      <w:pPr>
        <w:pStyle w:val="Heading2"/>
        <w:spacing w:before="240" w:after="120"/>
      </w:pPr>
      <w:r>
        <w:rPr>
          <w:rFonts w:ascii="Arial" w:cs="Arial" w:eastAsia="Arial" w:hAnsi="Arial"/>
          <w:b/>
          <w:bCs/>
          <w:color w:val="0F6E56"/>
          <w:sz w:val="26"/>
          <w:szCs w:val="26"/>
        </w:rPr>
        <w:t xml:space="preserve">Two-Track Execution (Solving the Governance Speed Problem)</w:t>
      </w:r>
    </w:p>
    <w:p>
      <w:pPr>
        <w:spacing w:before="80" w:after="80"/>
      </w:pPr>
      <w:r>
        <w:rPr>
          <w:rFonts w:ascii="Arial" w:cs="Arial" w:eastAsia="Arial" w:hAnsi="Arial"/>
          <w:b w:val="false"/>
          <w:bCs w:val="false"/>
          <w:color w:val="222222"/>
          <w:sz w:val="22"/>
          <w:szCs w:val="22"/>
        </w:rPr>
        <w:t xml:space="preserve">RDA solves governance lag without bypassing governance. The DAO votes once upfront to ratify an Investment Policy Statement (IPS). All subsequent actions either fit within the IPS (autonomous lane) or fall outside it (governance lane):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Autonomous lane (minutes)</w:t>
            </w:r>
          </w:p>
        </w:tc>
        <w:tc>
          <w:tcPr>
            <w:tcW w:type="dxa" w:w="468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Governance lane (days)</w:t>
            </w:r>
          </w:p>
        </w:tc>
      </w:tr>
      <w:tr>
        <w:tc>
          <w:tcPr>
            <w:tcW w:type="dxa" w:w="468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Pre-approved protocol families only</w:t>
            </w:r>
          </w:p>
        </w:tc>
        <w:tc>
          <w:tcPr>
            <w:tcW w:type="dxa" w:w="4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protocol type never used before</w:t>
            </w:r>
          </w:p>
        </w:tc>
      </w:tr>
      <w:tr>
        <w:tc>
          <w:tcPr>
            <w:tcW w:type="dxa" w:w="468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Moves &lt;10% of tier in any single tx</w:t>
            </w:r>
          </w:p>
        </w:tc>
        <w:tc>
          <w:tcPr>
            <w:tcW w:type="dxa" w:w="4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move &gt;10% of total treasury</w:t>
            </w:r>
          </w:p>
        </w:tc>
      </w:tr>
      <w:tr>
        <w:tc>
          <w:tcPr>
            <w:tcW w:type="dxa" w:w="468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or lower risk tier</w:t>
            </w:r>
          </w:p>
        </w:tc>
        <w:tc>
          <w:tcPr>
            <w:tcW w:type="dxa" w:w="4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 increase in risk tier</w:t>
            </w:r>
          </w:p>
        </w:tc>
      </w:tr>
      <w:tr>
        <w:tc>
          <w:tcPr>
            <w:tcW w:type="dxa" w:w="468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Rebalance within an already-approved pool</w:t>
            </w:r>
          </w:p>
        </w:tc>
        <w:tc>
          <w:tcPr>
            <w:tcW w:type="dxa" w:w="4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First-time allocation to a chain or asset</w:t>
            </w:r>
          </w:p>
        </w:tc>
      </w:tr>
      <w:tr>
        <w:tc>
          <w:tcPr>
            <w:tcW w:type="dxa" w:w="468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Executed via Safe module, tx signed by RDA agent key</w:t>
            </w:r>
          </w:p>
        </w:tc>
        <w:tc>
          <w:tcPr>
            <w:tcW w:type="dxa" w:w="4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RDA auto-generates Snapshot proposal with full rationale</w:t>
            </w:r>
          </w:p>
        </w:tc>
      </w:tr>
    </w:tbl>
    <w:p>
      <w:pPr>
        <w:spacing w:before="100" w:after="0"/>
      </w:pPr>
      <w:r>
        <w:t xml:space="preserve"/>
      </w:r>
    </w:p>
    <w:p>
      <w:pPr>
        <w:spacing w:before="80" w:after="80"/>
      </w:pPr>
      <w:r>
        <w:rPr>
          <w:rFonts w:ascii="Arial" w:cs="Arial" w:eastAsia="Arial" w:hAnsi="Arial"/>
          <w:b w:val="false"/>
          <w:bCs w:val="false"/>
          <w:color w:val="222222"/>
          <w:sz w:val="22"/>
          <w:szCs w:val="22"/>
        </w:rPr>
        <w:t xml:space="preserve">This mirrors how institutional asset management works: the board ratifies an investment mandate once; the portfolio manager executes freely within it. Routine rebalancing doesn't need a board meeting.</w:t>
      </w:r>
    </w:p>
    <w:p>
      <w:pPr>
        <w:spacing w:before="160" w:after="0"/>
      </w:pPr>
      <w:r>
        <w:t xml:space="preserve"/>
      </w:r>
    </w:p>
    <w:p>
      <w:pPr>
        <w:pStyle w:val="Heading2"/>
        <w:spacing w:before="240" w:after="120"/>
      </w:pPr>
      <w:r>
        <w:rPr>
          <w:rFonts w:ascii="Arial" w:cs="Arial" w:eastAsia="Arial" w:hAnsi="Arial"/>
          <w:b/>
          <w:bCs/>
          <w:color w:val="0F6E56"/>
          <w:sz w:val="26"/>
          <w:szCs w:val="26"/>
        </w:rPr>
        <w:t xml:space="preserve">Agent Architecture (ASI Stack)</w:t>
      </w:r>
    </w:p>
    <w:p>
      <w:pPr>
        <w:spacing w:before="80" w:after="80"/>
      </w:pPr>
      <w:r>
        <w:rPr>
          <w:rFonts w:ascii="Arial" w:cs="Arial" w:eastAsia="Arial" w:hAnsi="Arial"/>
          <w:b w:val="false"/>
          <w:bCs w:val="false"/>
          <w:color w:val="222222"/>
          <w:sz w:val="22"/>
          <w:szCs w:val="22"/>
        </w:rPr>
        <w:t xml:space="preserve">RDA runs as four coordinated uAgents on Agentverse:</w:t>
      </w:r>
    </w:p>
    <w:p>
      <w:pPr>
        <w:spacing w:before="60" w:after="0"/>
      </w:pPr>
      <w:r>
        <w:t xml:space="preserve"/>
      </w:r>
    </w:p>
    <w:p>
      <w:pPr>
        <w:pStyle w:val="ListParagraph"/>
        <w:numPr>
          <w:ilvl w:val="0"/>
          <w:numId w:val="2"/>
        </w:numPr>
        <w:spacing w:before="60" w:after="60"/>
      </w:pPr>
      <w:r>
        <w:rPr>
          <w:rFonts w:ascii="Arial" w:cs="Arial" w:eastAsia="Arial" w:hAnsi="Arial"/>
          <w:b/>
          <w:bCs/>
          <w:color w:val="111111"/>
          <w:sz w:val="22"/>
          <w:szCs w:val="22"/>
        </w:rPr>
        <w:t xml:space="preserve">Data harvester agent — </w:t>
      </w:r>
      <w:r>
        <w:rPr>
          <w:rFonts w:ascii="Arial" w:cs="Arial" w:eastAsia="Arial" w:hAnsi="Arial"/>
          <w:color w:val="333333"/>
          <w:sz w:val="22"/>
          <w:szCs w:val="22"/>
        </w:rPr>
        <w:t xml:space="preserve">Continuously fetches pool data from DeFiLlama, Aave, Curve, and protocol-registered data agents on Agentverse.</w:t>
      </w:r>
    </w:p>
    <w:p>
      <w:pPr>
        <w:pStyle w:val="ListParagraph"/>
        <w:numPr>
          <w:ilvl w:val="0"/>
          <w:numId w:val="2"/>
        </w:numPr>
        <w:spacing w:before="60" w:after="60"/>
      </w:pPr>
      <w:r>
        <w:rPr>
          <w:rFonts w:ascii="Arial" w:cs="Arial" w:eastAsia="Arial" w:hAnsi="Arial"/>
          <w:b/>
          <w:bCs/>
          <w:color w:val="111111"/>
          <w:sz w:val="22"/>
          <w:szCs w:val="22"/>
        </w:rPr>
        <w:t xml:space="preserve">Scoring agent — </w:t>
      </w:r>
      <w:r>
        <w:rPr>
          <w:rFonts w:ascii="Arial" w:cs="Arial" w:eastAsia="Arial" w:hAnsi="Arial"/>
          <w:color w:val="333333"/>
          <w:sz w:val="22"/>
          <w:szCs w:val="22"/>
        </w:rPr>
        <w:t xml:space="preserve">Applies MeTTa-based symbolic reasoning: audit age, TVL depth, 30-day APY stability, protocol concentration limits, chain risk.</w:t>
      </w:r>
    </w:p>
    <w:p>
      <w:pPr>
        <w:pStyle w:val="ListParagraph"/>
        <w:numPr>
          <w:ilvl w:val="0"/>
          <w:numId w:val="2"/>
        </w:numPr>
        <w:spacing w:before="60" w:after="60"/>
      </w:pPr>
      <w:r>
        <w:rPr>
          <w:rFonts w:ascii="Arial" w:cs="Arial" w:eastAsia="Arial" w:hAnsi="Arial"/>
          <w:b/>
          <w:bCs/>
          <w:color w:val="111111"/>
          <w:sz w:val="22"/>
          <w:szCs w:val="22"/>
        </w:rPr>
        <w:t xml:space="preserve">Monitoring agent — </w:t>
      </w:r>
      <w:r>
        <w:rPr>
          <w:rFonts w:ascii="Arial" w:cs="Arial" w:eastAsia="Arial" w:hAnsi="Arial"/>
          <w:color w:val="333333"/>
          <w:sz w:val="22"/>
          <w:szCs w:val="22"/>
        </w:rPr>
        <w:t xml:space="preserve">Watches deployed positions 24/7. Fires alerts if TVL drops &gt;20% in 48h, APY drifts &gt;2% from baseline, or a protocol exploit is flagged.</w:t>
      </w:r>
    </w:p>
    <w:p>
      <w:pPr>
        <w:pStyle w:val="ListParagraph"/>
        <w:numPr>
          <w:ilvl w:val="0"/>
          <w:numId w:val="2"/>
        </w:numPr>
        <w:spacing w:before="60" w:after="60"/>
      </w:pPr>
      <w:r>
        <w:rPr>
          <w:rFonts w:ascii="Arial" w:cs="Arial" w:eastAsia="Arial" w:hAnsi="Arial"/>
          <w:b/>
          <w:bCs/>
          <w:color w:val="111111"/>
          <w:sz w:val="22"/>
          <w:szCs w:val="22"/>
        </w:rPr>
        <w:t xml:space="preserve">Orchestrator agent — </w:t>
      </w:r>
      <w:r>
        <w:rPr>
          <w:rFonts w:ascii="Arial" w:cs="Arial" w:eastAsia="Arial" w:hAnsi="Arial"/>
          <w:color w:val="333333"/>
          <w:sz w:val="22"/>
          <w:szCs w:val="22"/>
        </w:rPr>
        <w:t xml:space="preserve">Interprets NL treasury policy, triggers the scoring agent, formats output as either a Safe tx (autonomous) or a structured Snapshot proposal (governance).</w:t>
      </w:r>
    </w:p>
    <w:p>
      <w:pPr>
        <w:spacing w:before="200" w:after="0"/>
      </w:pPr>
      <w:r>
        <w:t xml:space="preserve"/>
      </w:r>
    </w:p>
    <w:p>
      <w:pPr>
        <w:pStyle w:val="Heading1"/>
        <w:pBdr>
          <w:bottom w:val="single" w:color="1B4F8A" w:sz="6" w:space="4"/>
        </w:pBdr>
        <w:spacing w:before="320" w:after="160"/>
      </w:pPr>
      <w:r>
        <w:rPr>
          <w:rFonts w:ascii="Arial" w:cs="Arial" w:eastAsia="Arial" w:hAnsi="Arial"/>
          <w:b/>
          <w:bCs/>
          <w:color w:val="1B4F8A"/>
          <w:sz w:val="32"/>
          <w:szCs w:val="32"/>
        </w:rPr>
        <w:t xml:space="preserve">Implementation Details</w:t>
      </w:r>
    </w:p>
    <w:p>
      <w:pPr>
        <w:pStyle w:val="Heading2"/>
        <w:spacing w:before="240" w:after="120"/>
      </w:pPr>
      <w:r>
        <w:rPr>
          <w:rFonts w:ascii="Arial" w:cs="Arial" w:eastAsia="Arial" w:hAnsi="Arial"/>
          <w:b/>
          <w:bCs/>
          <w:color w:val="0F6E56"/>
          <w:sz w:val="26"/>
          <w:szCs w:val="26"/>
        </w:rPr>
        <w:t xml:space="preserve">Policy Configuration Schema</w:t>
      </w:r>
    </w:p>
    <w:p>
      <w:pPr>
        <w:spacing w:before="80" w:after="80"/>
      </w:pPr>
      <w:r>
        <w:rPr>
          <w:rFonts w:ascii="Arial" w:cs="Arial" w:eastAsia="Arial" w:hAnsi="Arial"/>
          <w:b w:val="false"/>
          <w:bCs w:val="false"/>
          <w:color w:val="222222"/>
          <w:sz w:val="22"/>
          <w:szCs w:val="22"/>
        </w:rPr>
        <w:t xml:space="preserve">At onboarding, a DAO treasury manager provides a plain-English policy statement. RDA's NL parser extracts a structured config: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value</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Enforcement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per-protocol exposure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 of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 filter — scored pools exceeding this are excluded</w:t>
            </w:r>
          </w:p>
        </w:tc>
      </w:tr>
      <w:tr>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 audit age</w:t>
            </w:r>
          </w:p>
        </w:tc>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months</w:t>
            </w:r>
          </w:p>
        </w:tc>
        <w:tc>
          <w:tcPr>
            <w:tcW w:type="dxa" w:w="3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 metadata check at scoring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Allowed chains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Ethereum, Arbitrum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Chain-level filter applied before scoring</w:t>
            </w:r>
          </w:p>
        </w:tc>
      </w:tr>
      <w:tr>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 TVL</w:t>
            </w:r>
          </w:p>
        </w:tc>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$50M</w:t>
            </w:r>
          </w:p>
        </w:tc>
        <w:tc>
          <w:tcPr>
            <w:tcW w:type="dxa" w:w="3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Pools below threshold excluded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Autonomous move limit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 to $500K / tx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Larger txs auto-routed to governance lane</w:t>
            </w:r>
          </w:p>
        </w:tc>
      </w:tr>
      <w:tr>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reserve</w:t>
            </w:r>
          </w:p>
        </w:tc>
        <w:tc>
          <w:tcPr>
            <w:tcW w:type="dxa" w:w="3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$2M hard floor</w:t>
            </w:r>
          </w:p>
        </w:tc>
        <w:tc>
          <w:tcPr>
            <w:tcW w:type="dxa" w:w="3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Balance check before every tx; blocked if below floor</w:t>
            </w:r>
          </w:p>
        </w:tc>
      </w:tr>
    </w:tbl>
    <w:p>
      <w:pPr>
        <w:spacing w:before="160" w:after="0"/>
      </w:pPr>
      <w:r>
        <w:t xml:space="preserve"/>
      </w:r>
    </w:p>
    <w:p>
      <w:pPr>
        <w:pStyle w:val="Heading2"/>
        <w:spacing w:before="240" w:after="120"/>
      </w:pPr>
      <w:r>
        <w:rPr>
          <w:rFonts w:ascii="Arial" w:cs="Arial" w:eastAsia="Arial" w:hAnsi="Arial"/>
          <w:b/>
          <w:bCs/>
          <w:color w:val="0F6E56"/>
          <w:sz w:val="26"/>
          <w:szCs w:val="26"/>
        </w:rPr>
        <w:t xml:space="preserve">Technical Stack</w:t>
      </w:r>
    </w:p>
    <w:p>
      <w:pPr>
        <w:pStyle w:val="ListParagraph"/>
        <w:numPr>
          <w:ilvl w:val="0"/>
          <w:numId w:val="2"/>
        </w:numPr>
        <w:spacing w:before="60" w:after="60"/>
      </w:pPr>
      <w:r>
        <w:rPr>
          <w:rFonts w:ascii="Arial" w:cs="Arial" w:eastAsia="Arial" w:hAnsi="Arial"/>
          <w:b/>
          <w:bCs/>
          <w:color w:val="111111"/>
          <w:sz w:val="22"/>
          <w:szCs w:val="22"/>
        </w:rPr>
        <w:t xml:space="preserve">Agents: </w:t>
      </w:r>
      <w:r>
        <w:rPr>
          <w:rFonts w:ascii="Arial" w:cs="Arial" w:eastAsia="Arial" w:hAnsi="Arial"/>
          <w:color w:val="333333"/>
          <w:sz w:val="22"/>
          <w:szCs w:val="22"/>
        </w:rPr>
        <w:t xml:space="preserve">uAgents (Python) — all four agent roles above</w:t>
      </w:r>
    </w:p>
    <w:p>
      <w:pPr>
        <w:pStyle w:val="ListParagraph"/>
        <w:numPr>
          <w:ilvl w:val="0"/>
          <w:numId w:val="2"/>
        </w:numPr>
        <w:spacing w:before="60" w:after="60"/>
      </w:pPr>
      <w:r>
        <w:rPr>
          <w:rFonts w:ascii="Arial" w:cs="Arial" w:eastAsia="Arial" w:hAnsi="Arial"/>
          <w:b/>
          <w:bCs/>
          <w:color w:val="111111"/>
          <w:sz w:val="22"/>
          <w:szCs w:val="22"/>
        </w:rPr>
        <w:t xml:space="preserve">Discovery: </w:t>
      </w:r>
      <w:r>
        <w:rPr>
          <w:rFonts w:ascii="Arial" w:cs="Arial" w:eastAsia="Arial" w:hAnsi="Arial"/>
          <w:color w:val="333333"/>
          <w:sz w:val="22"/>
          <w:szCs w:val="22"/>
        </w:rPr>
        <w:t xml:space="preserve">Agentverse — agent discovery and protocol data registration</w:t>
      </w:r>
    </w:p>
    <w:p>
      <w:pPr>
        <w:pStyle w:val="ListParagraph"/>
        <w:numPr>
          <w:ilvl w:val="0"/>
          <w:numId w:val="2"/>
        </w:numPr>
        <w:spacing w:before="60" w:after="60"/>
      </w:pPr>
      <w:r>
        <w:rPr>
          <w:rFonts w:ascii="Arial" w:cs="Arial" w:eastAsia="Arial" w:hAnsi="Arial"/>
          <w:b/>
          <w:bCs/>
          <w:color w:val="111111"/>
          <w:sz w:val="22"/>
          <w:szCs w:val="22"/>
        </w:rPr>
        <w:t xml:space="preserve">Identity: </w:t>
      </w:r>
      <w:r>
        <w:rPr>
          <w:rFonts w:ascii="Arial" w:cs="Arial" w:eastAsia="Arial" w:hAnsi="Arial"/>
          <w:color w:val="333333"/>
          <w:sz w:val="22"/>
          <w:szCs w:val="22"/>
        </w:rPr>
        <w:t xml:space="preserve">Fetch Network DID — agent identity and permissioned messaging between treasury Safe and RDA agents</w:t>
      </w:r>
    </w:p>
    <w:p>
      <w:pPr>
        <w:pStyle w:val="ListParagraph"/>
        <w:numPr>
          <w:ilvl w:val="0"/>
          <w:numId w:val="2"/>
        </w:numPr>
        <w:spacing w:before="60" w:after="60"/>
      </w:pPr>
      <w:r>
        <w:rPr>
          <w:rFonts w:ascii="Arial" w:cs="Arial" w:eastAsia="Arial" w:hAnsi="Arial"/>
          <w:b/>
          <w:bCs/>
          <w:color w:val="111111"/>
          <w:sz w:val="22"/>
          <w:szCs w:val="22"/>
        </w:rPr>
        <w:t xml:space="preserve">Reasoning: </w:t>
      </w:r>
      <w:r>
        <w:rPr>
          <w:rFonts w:ascii="Arial" w:cs="Arial" w:eastAsia="Arial" w:hAnsi="Arial"/>
          <w:color w:val="333333"/>
          <w:sz w:val="22"/>
          <w:szCs w:val="22"/>
        </w:rPr>
        <w:t xml:space="preserve">MeTTa — symbolic risk reasoning rules (audit age, TVL, concentration logic)</w:t>
      </w:r>
    </w:p>
    <w:p>
      <w:pPr>
        <w:pStyle w:val="ListParagraph"/>
        <w:numPr>
          <w:ilvl w:val="0"/>
          <w:numId w:val="2"/>
        </w:numPr>
        <w:spacing w:before="60" w:after="60"/>
      </w:pPr>
      <w:r>
        <w:rPr>
          <w:rFonts w:ascii="Arial" w:cs="Arial" w:eastAsia="Arial" w:hAnsi="Arial"/>
          <w:b/>
          <w:bCs/>
          <w:color w:val="111111"/>
          <w:sz w:val="22"/>
          <w:szCs w:val="22"/>
        </w:rPr>
        <w:t xml:space="preserve">Execution: </w:t>
      </w:r>
      <w:r>
        <w:rPr>
          <w:rFonts w:ascii="Arial" w:cs="Arial" w:eastAsia="Arial" w:hAnsi="Arial"/>
          <w:color w:val="333333"/>
          <w:sz w:val="22"/>
          <w:szCs w:val="22"/>
        </w:rPr>
        <w:t xml:space="preserve">Gnosis Safe module — pre-authorised execution key for autonomous lane transactions</w:t>
      </w:r>
    </w:p>
    <w:p>
      <w:pPr>
        <w:pStyle w:val="ListParagraph"/>
        <w:numPr>
          <w:ilvl w:val="0"/>
          <w:numId w:val="2"/>
        </w:numPr>
        <w:spacing w:before="60" w:after="60"/>
      </w:pPr>
      <w:r>
        <w:rPr>
          <w:rFonts w:ascii="Arial" w:cs="Arial" w:eastAsia="Arial" w:hAnsi="Arial"/>
          <w:b/>
          <w:bCs/>
          <w:color w:val="111111"/>
          <w:sz w:val="22"/>
          <w:szCs w:val="22"/>
        </w:rPr>
        <w:t xml:space="preserve">Data sources: </w:t>
      </w:r>
      <w:r>
        <w:rPr>
          <w:rFonts w:ascii="Arial" w:cs="Arial" w:eastAsia="Arial" w:hAnsi="Arial"/>
          <w:color w:val="333333"/>
          <w:sz w:val="22"/>
          <w:szCs w:val="22"/>
        </w:rPr>
        <w:t xml:space="preserve">DeFiLlama API, protocol-native subgraphs (Aave, Curve), Chainlink risk oracles</w:t>
      </w:r>
    </w:p>
    <w:p>
      <w:pPr>
        <w:pStyle w:val="ListParagraph"/>
        <w:numPr>
          <w:ilvl w:val="0"/>
          <w:numId w:val="2"/>
        </w:numPr>
        <w:spacing w:before="60" w:after="60"/>
      </w:pPr>
      <w:r>
        <w:rPr>
          <w:rFonts w:ascii="Arial" w:cs="Arial" w:eastAsia="Arial" w:hAnsi="Arial"/>
          <w:b/>
          <w:bCs/>
          <w:color w:val="111111"/>
          <w:sz w:val="22"/>
          <w:szCs w:val="22"/>
        </w:rPr>
        <w:t xml:space="preserve">Frontend: </w:t>
      </w:r>
      <w:r>
        <w:rPr>
          <w:rFonts w:ascii="Arial" w:cs="Arial" w:eastAsia="Arial" w:hAnsi="Arial"/>
          <w:color w:val="333333"/>
          <w:sz w:val="22"/>
          <w:szCs w:val="22"/>
        </w:rPr>
        <w:t xml:space="preserve">ASI:One — chat front-end for NL policy input and recommendation review</w:t>
      </w:r>
    </w:p>
    <w:p>
      <w:pPr>
        <w:spacing w:before="200" w:after="0"/>
      </w:pPr>
      <w:r>
        <w:t xml:space="preserve"/>
      </w:r>
    </w:p>
    <w:p>
      <w:pPr>
        <w:pStyle w:val="Heading1"/>
        <w:pBdr>
          <w:bottom w:val="single" w:color="1B4F8A" w:sz="6" w:space="4"/>
        </w:pBdr>
        <w:spacing w:before="320" w:after="160"/>
      </w:pPr>
      <w:r>
        <w:rPr>
          <w:rFonts w:ascii="Arial" w:cs="Arial" w:eastAsia="Arial" w:hAnsi="Arial"/>
          <w:b/>
          <w:bCs/>
          <w:color w:val="1B4F8A"/>
          <w:sz w:val="32"/>
          <w:szCs w:val="32"/>
        </w:rPr>
        <w:t xml:space="preserve">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336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 in RDA</w:t>
            </w:r>
          </w:p>
        </w:tc>
      </w:tr>
      <w:tr>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Smart contract exploit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target protocol (Aave, Curve) gets exploited post-allocation. Autonomous execution amplifies exposure if it moved funds just before the exploit.</w:t>
            </w:r>
          </w:p>
        </w:tc>
        <w:tc>
          <w:tcPr>
            <w:tcW w:type="dxa" w:w="36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 agent watches exploit feeds and TVL collapse signals. Emergency withdrawal tx pre-staged for one-click execution. Tier 1 never deployed.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RDA agent key compromise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the autonomous execution key is stolen, an attacker could drain Tier 2/3 within approved parameters.</w:t>
            </w:r>
          </w:p>
        </w:tc>
        <w:tc>
          <w:tcPr>
            <w:tcW w:type="dxa" w:w="36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Key held in hardware-secured enclave. Safe module limits: per-tx cap, daily volume cap, cooldown between txs, and 2-of-3 multisig override.</w:t>
            </w:r>
          </w:p>
        </w:tc>
      </w:tr>
      <w:tr>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Oracle / data manipulation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Stale or manipulated APY data from DeFiLlama or subgraphs causes RDA to recommend a pool with artificially inflated yield.</w:t>
            </w:r>
          </w:p>
        </w:tc>
        <w:tc>
          <w:tcPr>
            <w:tcW w:type="dxa" w:w="36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Cross-reference multiple data sources. Reject any pool with &gt;20% APY variance across sources. MeTTa rule: suspicious spikes trigger governance lane.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Governance capture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malicious governance vote expands the autonomous lane parameters to allow large, risky moves.</w:t>
            </w:r>
          </w:p>
        </w:tc>
        <w:tc>
          <w:tcPr>
            <w:tcW w:type="dxa" w:w="36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IPS amendments require a supermajority (e.g., 2/3 quorum). Time-lock on parameter changes (48h delay). Tier 1 floor is immutable at contract level.</w:t>
            </w:r>
          </w:p>
        </w:tc>
      </w:tr>
      <w:tr>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Liquidity crunch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DAO needs emergency funds but Tier 2 is in a pool with unexpected exit restrictions (e.g., Curve gauge with lock).</w:t>
            </w:r>
          </w:p>
        </w:tc>
        <w:tc>
          <w:tcPr>
            <w:tcW w:type="dxa" w:w="36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2 protocol whitelist enforces instant-redemption pools only (Aave aTokens, Compound cTokens). No locked liquidity in Tier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Model / scoring error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MeTTa risk model assigns low risk to a pool that is actually high risk due to undetected dependencies.</w:t>
            </w:r>
          </w:p>
        </w:tc>
        <w:tc>
          <w:tcPr>
            <w:tcW w:type="dxa" w:w="36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 review required for all first-time protocol allocations. Scoring model versioned and auditable. Community can flag scoring anomalies.</w:t>
            </w:r>
          </w:p>
        </w:tc>
      </w:tr>
    </w:tbl>
    <w:p>
      <w:pPr>
        <w:spacing w:before="200" w:after="0"/>
      </w:pPr>
      <w:r>
        <w:t xml:space="preserve"/>
      </w:r>
    </w:p>
    <w:p>
      <w:pPr>
        <w:pStyle w:val="Heading1"/>
        <w:pBdr>
          <w:bottom w:val="single" w:color="1B4F8A" w:sz="6" w:space="4"/>
        </w:pBdr>
        <w:spacing w:before="320" w:after="160"/>
      </w:pPr>
      <w:r>
        <w:rPr>
          <w:rFonts w:ascii="Arial" w:cs="Arial" w:eastAsia="Arial" w:hAnsi="Arial"/>
          <w:b/>
          <w:bCs/>
          <w:color w:val="1B4F8A"/>
          <w:sz w:val="32"/>
          <w:szCs w:val="32"/>
        </w:rPr>
        <w:t xml:space="preserve">Competitive Landscape</w:t>
      </w:r>
    </w:p>
    <w:p>
      <w:pPr>
        <w:spacing w:before="80" w:after="80"/>
      </w:pPr>
      <w:r>
        <w:rPr>
          <w:rFonts w:ascii="Arial" w:cs="Arial" w:eastAsia="Arial" w:hAnsi="Arial"/>
          <w:b w:val="false"/>
          <w:bCs w:val="false"/>
          <w:color w:val="222222"/>
          <w:sz w:val="22"/>
          <w:szCs w:val="22"/>
        </w:rPr>
        <w:t xml:space="preserve">RDA occupies a gap between passive yield aggregators and manual treasury tools. No current solution combines autonomous execution, NL policy input, governance integration, and continuous monitoring in a single agent network.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 Protocol</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NL policy input</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Autonomous exec</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Gov integration</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Monitoring</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DAO focus</w:t>
            </w:r>
          </w:p>
        </w:tc>
      </w:tr>
      <w:tr>
        <w:tc>
          <w:tcPr>
            <w:tcW w:type="dxa" w:w="20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RDA (proposed)</w:t>
            </w:r>
          </w:p>
        </w:tc>
        <w:tc>
          <w:tcPr>
            <w:tcW w:type="dxa" w:w="15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(ASI:One NL)</w:t>
            </w:r>
          </w:p>
        </w:tc>
        <w:tc>
          <w:tcPr>
            <w:tcW w:type="dxa" w:w="15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(Safe module)</w:t>
            </w:r>
          </w:p>
        </w:tc>
        <w:tc>
          <w:tcPr>
            <w:tcW w:type="dxa" w:w="15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(Snapshot auto)</w:t>
            </w:r>
          </w:p>
        </w:tc>
        <w:tc>
          <w:tcPr>
            <w:tcW w:type="dxa" w:w="150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(24/7 agents)</w:t>
            </w:r>
          </w:p>
        </w:tc>
        <w:tc>
          <w:tcPr>
            <w:tcW w:type="dxa" w:w="1360"/>
            <w:tcBorders>
              <w:top w:val="single" w:color="CCCCCC" w:sz="1"/>
              <w:left w:val="single" w:color="CCCCCC" w:sz="1"/>
              <w:bottom w:val="single" w:color="CCCCCC" w:sz="1"/>
              <w:right w:val="single" w:color="CCCCCC" w:sz="1"/>
            </w:tcBorders>
            <w:shd w:fill="D4EFE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Yearn Finance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(vaults)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(retail)</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Llama / Parcel</w:t>
            </w:r>
          </w:p>
        </w:tc>
        <w:tc>
          <w:tcPr>
            <w:tcW w:type="dxa" w:w="1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w:t>
            </w:r>
          </w:p>
        </w:tc>
        <w:tc>
          <w:tcPr>
            <w:tcW w:type="dxa" w:w="1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(expense mgmt)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Enzyme Finance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(vaults)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Basic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Karpatkey</w:t>
            </w:r>
          </w:p>
        </w:tc>
        <w:tc>
          <w:tcPr>
            <w:tcW w:type="dxa" w:w="1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Manual</w:t>
            </w:r>
          </w:p>
        </w:tc>
        <w:tc>
          <w:tcPr>
            <w:tcW w:type="dxa" w:w="1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(manual)</w:t>
            </w:r>
          </w:p>
        </w:tc>
        <w:tc>
          <w:tcPr>
            <w:tcW w:type="dxa" w:w="150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Manual</w:t>
            </w:r>
          </w:p>
        </w:tc>
        <w:tc>
          <w:tcPr>
            <w:tcW w:type="dxa" w:w="1360"/>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Idle Finance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(yield opt)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Basic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w:t>
            </w:r>
          </w:p>
        </w:tc>
      </w:tr>
    </w:tbl>
    <w:p>
      <w:pPr>
        <w:spacing w:before="100" w:after="0"/>
      </w:pPr>
      <w:r>
        <w:t xml:space="preserve"/>
      </w:r>
    </w:p>
    <w:p>
      <w:pPr>
        <w:spacing w:before="80" w:after="80"/>
      </w:pPr>
      <w:r>
        <w:rPr>
          <w:rFonts w:ascii="Arial" w:cs="Arial" w:eastAsia="Arial" w:hAnsi="Arial"/>
          <w:b w:val="false"/>
          <w:bCs w:val="false"/>
          <w:color w:val="222222"/>
          <w:sz w:val="22"/>
          <w:szCs w:val="22"/>
        </w:rPr>
        <w:t xml:space="preserve">Karpatkey is the closest human analog — a dedicated treasury management firm that manages Gnosis, Balancer, and other DAO treasuries manually. RDA automates what Karpatkey does with humans, adds 24/7 monitoring, and removes the trust dependency on a third party.</w:t>
      </w:r>
    </w:p>
    <w:p>
      <w:pPr>
        <w:spacing w:before="200" w:after="0"/>
      </w:pPr>
      <w:r>
        <w:t xml:space="preserve"/>
      </w:r>
    </w:p>
    <w:p>
      <w:pPr>
        <w:pStyle w:val="Heading1"/>
        <w:pBdr>
          <w:bottom w:val="single" w:color="1B4F8A" w:sz="6" w:space="4"/>
        </w:pBdr>
        <w:spacing w:before="320" w:after="160"/>
      </w:pPr>
      <w:r>
        <w:rPr>
          <w:rFonts w:ascii="Arial" w:cs="Arial" w:eastAsia="Arial" w:hAnsi="Arial"/>
          <w:b/>
          <w:bCs/>
          <w:color w:val="1B4F8A"/>
          <w:sz w:val="32"/>
          <w:szCs w:val="32"/>
        </w:rPr>
        <w:t xml:space="preserve">Key Differentiators</w:t>
      </w:r>
    </w:p>
    <w:p>
      <w:pPr>
        <w:pStyle w:val="ListParagraph"/>
        <w:numPr>
          <w:ilvl w:val="0"/>
          <w:numId w:val="2"/>
        </w:numPr>
        <w:spacing w:before="60" w:after="60"/>
      </w:pPr>
      <w:r>
        <w:rPr>
          <w:rFonts w:ascii="Arial" w:cs="Arial" w:eastAsia="Arial" w:hAnsi="Arial"/>
          <w:b/>
          <w:bCs/>
          <w:color w:val="111111"/>
          <w:sz w:val="22"/>
          <w:szCs w:val="22"/>
        </w:rPr>
        <w:t xml:space="preserve">NL-first policy — </w:t>
      </w:r>
      <w:r>
        <w:rPr>
          <w:rFonts w:ascii="Arial" w:cs="Arial" w:eastAsia="Arial" w:hAnsi="Arial"/>
          <w:color w:val="333333"/>
          <w:sz w:val="22"/>
          <w:szCs w:val="22"/>
        </w:rPr>
        <w:t xml:space="preserve">The only DAO treasury tool that accepts plain-English investment policy — no technical setup by a developer required.</w:t>
      </w:r>
    </w:p>
    <w:p>
      <w:pPr>
        <w:pStyle w:val="ListParagraph"/>
        <w:numPr>
          <w:ilvl w:val="0"/>
          <w:numId w:val="2"/>
        </w:numPr>
        <w:spacing w:before="60" w:after="60"/>
      </w:pPr>
      <w:r>
        <w:rPr>
          <w:rFonts w:ascii="Arial" w:cs="Arial" w:eastAsia="Arial" w:hAnsi="Arial"/>
          <w:b/>
          <w:bCs/>
          <w:color w:val="111111"/>
          <w:sz w:val="22"/>
          <w:szCs w:val="22"/>
        </w:rPr>
        <w:t xml:space="preserve">Liquidity safety — </w:t>
      </w:r>
      <w:r>
        <w:rPr>
          <w:rFonts w:ascii="Arial" w:cs="Arial" w:eastAsia="Arial" w:hAnsi="Arial"/>
          <w:color w:val="333333"/>
          <w:sz w:val="22"/>
          <w:szCs w:val="22"/>
        </w:rPr>
        <w:t xml:space="preserve">Three-tier liquidity model ensures emergency funds are never at risk, solving the core objection to autonomous yield management.</w:t>
      </w:r>
    </w:p>
    <w:p>
      <w:pPr>
        <w:pStyle w:val="ListParagraph"/>
        <w:numPr>
          <w:ilvl w:val="0"/>
          <w:numId w:val="2"/>
        </w:numPr>
        <w:spacing w:before="60" w:after="60"/>
      </w:pPr>
      <w:r>
        <w:rPr>
          <w:rFonts w:ascii="Arial" w:cs="Arial" w:eastAsia="Arial" w:hAnsi="Arial"/>
          <w:b/>
          <w:bCs/>
          <w:color w:val="111111"/>
          <w:sz w:val="22"/>
          <w:szCs w:val="22"/>
        </w:rPr>
        <w:t xml:space="preserve">Speed without recklessness — </w:t>
      </w:r>
      <w:r>
        <w:rPr>
          <w:rFonts w:ascii="Arial" w:cs="Arial" w:eastAsia="Arial" w:hAnsi="Arial"/>
          <w:color w:val="333333"/>
          <w:sz w:val="22"/>
          <w:szCs w:val="22"/>
        </w:rPr>
        <w:t xml:space="preserve">Two-track execution (autonomous lane + governance lane) gives the speed of a portfolio manager within democratically-set guardrails.</w:t>
      </w:r>
    </w:p>
    <w:p>
      <w:pPr>
        <w:pStyle w:val="ListParagraph"/>
        <w:numPr>
          <w:ilvl w:val="0"/>
          <w:numId w:val="2"/>
        </w:numPr>
        <w:spacing w:before="60" w:after="60"/>
      </w:pPr>
      <w:r>
        <w:rPr>
          <w:rFonts w:ascii="Arial" w:cs="Arial" w:eastAsia="Arial" w:hAnsi="Arial"/>
          <w:b/>
          <w:bCs/>
          <w:color w:val="111111"/>
          <w:sz w:val="22"/>
          <w:szCs w:val="22"/>
        </w:rPr>
        <w:t xml:space="preserve">Always-on monitoring — </w:t>
      </w:r>
      <w:r>
        <w:rPr>
          <w:rFonts w:ascii="Arial" w:cs="Arial" w:eastAsia="Arial" w:hAnsi="Arial"/>
          <w:color w:val="333333"/>
          <w:sz w:val="22"/>
          <w:szCs w:val="22"/>
        </w:rPr>
        <w:t xml:space="preserve">uAgents run continuously — positions are monitored every block, not polled daily by a human.</w:t>
      </w:r>
    </w:p>
    <w:p>
      <w:pPr>
        <w:pStyle w:val="ListParagraph"/>
        <w:numPr>
          <w:ilvl w:val="0"/>
          <w:numId w:val="2"/>
        </w:numPr>
        <w:spacing w:before="60" w:after="60"/>
      </w:pPr>
      <w:r>
        <w:rPr>
          <w:rFonts w:ascii="Arial" w:cs="Arial" w:eastAsia="Arial" w:hAnsi="Arial"/>
          <w:b/>
          <w:bCs/>
          <w:color w:val="111111"/>
          <w:sz w:val="22"/>
          <w:szCs w:val="22"/>
        </w:rPr>
        <w:t xml:space="preserve">Auditable reasoning — </w:t>
      </w:r>
      <w:r>
        <w:rPr>
          <w:rFonts w:ascii="Arial" w:cs="Arial" w:eastAsia="Arial" w:hAnsi="Arial"/>
          <w:color w:val="333333"/>
          <w:sz w:val="22"/>
          <w:szCs w:val="22"/>
        </w:rPr>
        <w:t xml:space="preserve">MeTTa symbolic reasoning makes every recommendation explainable: the DAO can audit exactly why a pool was scored as it was.</w:t>
      </w:r>
    </w:p>
    <w:p>
      <w:pPr>
        <w:pStyle w:val="ListParagraph"/>
        <w:numPr>
          <w:ilvl w:val="0"/>
          <w:numId w:val="2"/>
        </w:numPr>
        <w:spacing w:before="60" w:after="60"/>
      </w:pPr>
      <w:r>
        <w:rPr>
          <w:rFonts w:ascii="Arial" w:cs="Arial" w:eastAsia="Arial" w:hAnsi="Arial"/>
          <w:b/>
          <w:bCs/>
          <w:color w:val="111111"/>
          <w:sz w:val="22"/>
          <w:szCs w:val="22"/>
        </w:rPr>
        <w:t xml:space="preserve">Decentralised AI infra — </w:t>
      </w:r>
      <w:r>
        <w:rPr>
          <w:rFonts w:ascii="Arial" w:cs="Arial" w:eastAsia="Arial" w:hAnsi="Arial"/>
          <w:color w:val="333333"/>
          <w:sz w:val="22"/>
          <w:szCs w:val="22"/>
        </w:rPr>
        <w:t xml:space="preserve">Built on Fetch.ai / ASI stack — aligns with the decentralised AI agent ecosystem rather than a centralised API model.</w:t>
      </w:r>
    </w:p>
    <w:p>
      <w:pPr>
        <w:spacing w:before="200" w:after="0"/>
      </w:pPr>
      <w:r>
        <w:t xml:space="preserve"/>
      </w:r>
    </w:p>
    <w:p>
      <w:pPr>
        <w:pStyle w:val="Heading1"/>
        <w:pBdr>
          <w:bottom w:val="single" w:color="1B4F8A" w:sz="6" w:space="4"/>
        </w:pBdr>
        <w:spacing w:before="320" w:after="160"/>
      </w:pPr>
      <w:r>
        <w:rPr>
          <w:rFonts w:ascii="Arial" w:cs="Arial" w:eastAsia="Arial" w:hAnsi="Arial"/>
          <w:b/>
          <w:bCs/>
          <w:color w:val="1B4F8A"/>
          <w:sz w:val="32"/>
          <w:szCs w:val="32"/>
        </w:rPr>
        <w:t xml:space="preserve">Portfolio Showcase Notes</w:t>
      </w:r>
    </w:p>
    <w:p>
      <w:pPr>
        <w:spacing w:before="80" w:after="80"/>
      </w:pPr>
      <w:r>
        <w:rPr>
          <w:rFonts w:ascii="Arial" w:cs="Arial" w:eastAsia="Arial" w:hAnsi="Arial"/>
          <w:b w:val="false"/>
          <w:bCs w:val="false"/>
          <w:color w:val="222222"/>
          <w:sz w:val="22"/>
          <w:szCs w:val="22"/>
        </w:rPr>
        <w:t xml:space="preserve">For demonstration purposes, RDA can be run with:</w:t>
      </w:r>
    </w:p>
    <w:p>
      <w:pPr>
        <w:pStyle w:val="ListParagraph"/>
        <w:numPr>
          <w:ilvl w:val="0"/>
          <w:numId w:val="2"/>
        </w:numPr>
        <w:spacing w:before="60" w:after="60"/>
      </w:pPr>
      <w:r>
        <w:rPr>
          <w:rFonts w:ascii="Arial" w:cs="Arial" w:eastAsia="Arial" w:hAnsi="Arial"/>
          <w:color w:val="333333"/>
          <w:sz w:val="22"/>
          <w:szCs w:val="22"/>
        </w:rPr>
        <w:t xml:space="preserve">A mock DAO Safe wallet with test USDC on Arbitrum Sepolia</w:t>
      </w:r>
    </w:p>
    <w:p>
      <w:pPr>
        <w:pStyle w:val="ListParagraph"/>
        <w:numPr>
          <w:ilvl w:val="0"/>
          <w:numId w:val="2"/>
        </w:numPr>
        <w:spacing w:before="60" w:after="60"/>
      </w:pPr>
      <w:r>
        <w:rPr>
          <w:rFonts w:ascii="Arial" w:cs="Arial" w:eastAsia="Arial" w:hAnsi="Arial"/>
          <w:color w:val="333333"/>
          <w:sz w:val="22"/>
          <w:szCs w:val="22"/>
        </w:rPr>
        <w:t xml:space="preserve">Live pool data from DeFiLlama's public API (no key required)</w:t>
      </w:r>
    </w:p>
    <w:p>
      <w:pPr>
        <w:pStyle w:val="ListParagraph"/>
        <w:numPr>
          <w:ilvl w:val="0"/>
          <w:numId w:val="2"/>
        </w:numPr>
        <w:spacing w:before="60" w:after="60"/>
      </w:pPr>
      <w:r>
        <w:rPr>
          <w:rFonts w:ascii="Arial" w:cs="Arial" w:eastAsia="Arial" w:hAnsi="Arial"/>
          <w:color w:val="333333"/>
          <w:sz w:val="22"/>
          <w:szCs w:val="22"/>
        </w:rPr>
        <w:t xml:space="preserve">A local Agentverse instance running the four uAgents</w:t>
      </w:r>
    </w:p>
    <w:p>
      <w:pPr>
        <w:pStyle w:val="ListParagraph"/>
        <w:numPr>
          <w:ilvl w:val="0"/>
          <w:numId w:val="2"/>
        </w:numPr>
        <w:spacing w:before="60" w:after="60"/>
      </w:pPr>
      <w:r>
        <w:rPr>
          <w:rFonts w:ascii="Arial" w:cs="Arial" w:eastAsia="Arial" w:hAnsi="Arial"/>
          <w:color w:val="333333"/>
          <w:sz w:val="22"/>
          <w:szCs w:val="22"/>
        </w:rPr>
        <w:t xml:space="preserve">A pre-configured IPS policy document processed through ASI:One NL interface</w:t>
      </w:r>
    </w:p>
    <w:p>
      <w:pPr>
        <w:spacing w:before="80" w:after="0"/>
      </w:pPr>
      <w:r>
        <w:t xml:space="preserve"/>
      </w:r>
    </w:p>
    <w:p>
      <w:pPr>
        <w:spacing w:before="80" w:after="80"/>
      </w:pPr>
      <w:r>
        <w:rPr>
          <w:rFonts w:ascii="Arial" w:cs="Arial" w:eastAsia="Arial" w:hAnsi="Arial"/>
          <w:b w:val="false"/>
          <w:bCs w:val="false"/>
          <w:color w:val="222222"/>
          <w:sz w:val="22"/>
          <w:szCs w:val="22"/>
        </w:rPr>
        <w:t xml:space="preserve">The demo can walk through: (1) NL policy input, (2) scored pool recommendations with rationale, (3) auto-generated Snapshot proposal markdown, and (4) a simulated Safe tx in the autonomous lane. No real funds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0F6E56" w:sz="8"/>
              <w:bottom w:val="single" w:color="0F6E56" w:sz="2"/>
              <w:right w:val="single" w:color="0F6E56" w:sz="2"/>
            </w:tcBorders>
            <w:shd w:fill="D4EFE5" w:val="clear"/>
            <w:tcMar>
              <w:top w:type="dxa" w:w="120"/>
              <w:left w:type="dxa" w:w="160"/>
              <w:bottom w:type="dxa" w:w="120"/>
              <w:right w:type="dxa" w:w="160"/>
            </w:tcMar>
          </w:tcPr>
          <w:p>
            <w:pPr>
              <w:spacing w:before="0" w:after="60"/>
            </w:pPr>
            <w:r>
              <w:rPr>
                <w:rFonts w:ascii="Arial" w:cs="Arial" w:eastAsia="Arial" w:hAnsi="Arial"/>
                <w:b/>
                <w:bCs/>
                <w:color w:val="0F6E56"/>
                <w:sz w:val="22"/>
                <w:szCs w:val="22"/>
              </w:rPr>
              <w:t xml:space="preserve">Estimated yield impact</w:t>
            </w:r>
          </w:p>
          <w:p>
            <w:pPr>
              <w:spacing w:before="0" w:after="0"/>
            </w:pPr>
            <w:r>
              <w:rPr>
                <w:rFonts w:ascii="Arial" w:cs="Arial" w:eastAsia="Arial" w:hAnsi="Arial"/>
                <w:color w:val="333333"/>
                <w:sz w:val="21"/>
                <w:szCs w:val="21"/>
              </w:rPr>
              <w:t xml:space="preserve">A DAO with $5M in idle USDC earning 0% vs. 6% APY via RDA-managed Tier 2/3 allocation = $300,000 per year in recovered yield. At $20B total DAO treasury idle capital, the addressable value recapture is $1.2 billion annually.</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RDA — DAO Treasury Intelligence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2026-03-13T11:12:56.942Z</dcterms:created>
  <dcterms:modified xsi:type="dcterms:W3CDTF">2026-03-13T11:12:56.943Z</dcterms:modified>
</cp:coreProperties>
</file>

<file path=docProps/custom.xml><?xml version="1.0" encoding="utf-8"?>
<Properties xmlns="http://schemas.openxmlformats.org/officeDocument/2006/custom-properties" xmlns:vt="http://schemas.openxmlformats.org/officeDocument/2006/docPropsVTypes"/>
</file>