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"VirtusFocus"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2E5E2E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D2C / ATHLETE ARTIFACT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WHAT'S IN THIS PACKET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Real athlete-facing coaching output from three anonymized athletes, plus the system's baseline snapshot for one athlete (Day 1 starting point) and a sample team dashboard. These are the messages, deep dives, and parent-facing notes the program actually delivers. Not mockups, not summaries.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Reference these during Question 4 of your breakout.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ATHLETES FEATURED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A</w:t>
      </w:r>
      <w:r>
        <w:rPr>
          <w:rFonts w:ascii="Arial" w:hAnsi="Arial"/>
          <w:sz w:val="22"/>
        </w:rPr>
        <w:t xml:space="preserve">  —  D2 women's softball, outfielder. 12-week coaching arc.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B</w:t>
      </w:r>
      <w:r>
        <w:rPr>
          <w:rFonts w:ascii="Arial" w:hAnsi="Arial"/>
          <w:sz w:val="22"/>
        </w:rPr>
        <w:t xml:space="preserve">  —  D2 men's track and field, throws. 10-week coaching arc, retiring after PSAC championship.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C</w:t>
      </w:r>
      <w:r>
        <w:rPr>
          <w:rFonts w:ascii="Arial" w:hAnsi="Arial"/>
          <w:sz w:val="22"/>
        </w:rPr>
        <w:t xml:space="preserve">  —  High school wrestling. Week 1 of return arc following season-ending knee injury.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CONTENTS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1.  </w:t>
      </w:r>
      <w:r>
        <w:rPr>
          <w:rFonts w:ascii="Arial" w:hAnsi="Arial"/>
          <w:sz w:val="20"/>
        </w:rPr>
        <w:t>Athlete A — Baseline Snapshot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Day 1 starting point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2.  </w:t>
      </w:r>
      <w:r>
        <w:rPr>
          <w:rFonts w:ascii="Arial" w:hAnsi="Arial"/>
          <w:sz w:val="20"/>
        </w:rPr>
        <w:t>Athlete A — 12-week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3.  </w:t>
      </w:r>
      <w:r>
        <w:rPr>
          <w:rFonts w:ascii="Arial" w:hAnsi="Arial"/>
          <w:sz w:val="20"/>
        </w:rPr>
        <w:t>Athlete A — Week 7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first competitive failure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4.  </w:t>
      </w:r>
      <w:r>
        <w:rPr>
          <w:rFonts w:ascii="Arial" w:hAnsi="Arial"/>
          <w:sz w:val="20"/>
        </w:rPr>
        <w:t>Athlete A — Week 12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peak moment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5.  </w:t>
      </w:r>
      <w:r>
        <w:rPr>
          <w:rFonts w:ascii="Arial" w:hAnsi="Arial"/>
          <w:sz w:val="20"/>
        </w:rPr>
        <w:t>Athlete A — Week 12 Deep Dive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full analytical depth example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6.  </w:t>
      </w:r>
      <w:r>
        <w:rPr>
          <w:rFonts w:ascii="Arial" w:hAnsi="Arial"/>
          <w:sz w:val="20"/>
        </w:rPr>
        <w:t>Athlete A — Week 12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coach-facing cross-audience reference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7.  </w:t>
      </w:r>
      <w:r>
        <w:rPr>
          <w:rFonts w:ascii="Arial" w:hAnsi="Arial"/>
          <w:sz w:val="20"/>
        </w:rPr>
        <w:t>Athlete A — Week 12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parent-facing perspective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8.  </w:t>
      </w:r>
      <w:r>
        <w:rPr>
          <w:rFonts w:ascii="Arial" w:hAnsi="Arial"/>
          <w:sz w:val="20"/>
        </w:rPr>
        <w:t>Athlete B — 10-week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9.  </w:t>
      </w:r>
      <w:r>
        <w:rPr>
          <w:rFonts w:ascii="Arial" w:hAnsi="Arial"/>
          <w:sz w:val="20"/>
        </w:rPr>
        <w:t>Athlete B — Week 10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final week + phase advancement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10.  </w:t>
      </w:r>
      <w:r>
        <w:rPr>
          <w:rFonts w:ascii="Arial" w:hAnsi="Arial"/>
          <w:sz w:val="20"/>
        </w:rPr>
        <w:t>Athlete C — Week 1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HS-context parent exemplar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11.  </w:t>
      </w:r>
      <w:r>
        <w:rPr>
          <w:rFonts w:ascii="Arial" w:hAnsi="Arial"/>
          <w:sz w:val="20"/>
        </w:rPr>
        <w:t>Sample Team Snapshot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institutional aggregate dashboard</w:t>
      </w:r>
    </w:p>
    <w:p>
      <w:pPr>
        <w:pBdr>
          <w:bottom w:val="single" w:sz="6" w:space="1" w:color="888888"/>
        </w:pBdr>
      </w:pPr>
    </w:p>
    <w:p>
      <w:pPr>
        <w:spacing w:before="80"/>
        <w:ind w:left="432"/>
      </w:pPr>
      <w:r>
        <w:rPr>
          <w:rFonts w:ascii="Arial" w:hAnsi="Arial"/>
          <w:b w:val="0"/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FC693F" w:rsidRPr="0006063C" w:rsidSect="00034616">
      <w:footerReference w:type="default" r:id="rId9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D2C / ATHLETE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