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40"/>
        </w:rPr>
        <w:t>"VirtusFocus" Focus Group</w:t>
      </w:r>
    </w:p>
    <w:p>
      <w:pPr>
        <w:jc w:val="center"/>
      </w:pPr>
      <w:r>
        <w:rPr>
          <w:rFonts w:ascii="Arial" w:hAnsi="Arial"/>
          <w:b w:val="0"/>
          <w:color w:val="555555"/>
          <w:sz w:val="28"/>
        </w:rPr>
        <w:t>May 9,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F3A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INSTITUTIONAL ARTIFACT PACKET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888888"/>
          <w:sz w:val="24"/>
        </w:rPr>
        <w:t>CONFIDENTIAL UNDER NDA</w:t>
      </w:r>
    </w:p>
    <w:p>
      <w:pPr>
        <w:pBdr>
          <w:bottom w:val="single" w:sz="6" w:space="1" w:color="888888"/>
        </w:pBdr>
      </w:pPr>
    </w:p>
    <w:p>
      <w:pPr>
        <w:spacing w:before="120" w:after="40"/>
        <w:ind w:left="432"/>
      </w:pPr>
      <w:r>
        <w:rPr>
          <w:rFonts w:ascii="Arial" w:hAnsi="Arial"/>
          <w:b/>
          <w:i w:val="0"/>
          <w:sz w:val="24"/>
        </w:rPr>
        <w:t>WHAT'S IN THIS PACKET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sz w:val="22"/>
        </w:rPr>
        <w:t>Real coaching-staff output from two anonymized athletes, the system's baseline snapshot showing one athlete's Day 1 starting point, and a sample institutional team-level dashboard. These are not mockups. This is what a coaching staff actually receives in real deployment.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sz w:val="22"/>
        </w:rPr>
        <w:t>Reference these during Question 4 of your breakout.</w:t>
      </w:r>
    </w:p>
    <w:p>
      <w:pPr>
        <w:spacing w:before="120" w:after="40"/>
        <w:ind w:left="432"/>
      </w:pPr>
      <w:r>
        <w:rPr>
          <w:rFonts w:ascii="Arial" w:hAnsi="Arial"/>
          <w:b/>
          <w:i w:val="0"/>
          <w:sz w:val="24"/>
        </w:rPr>
        <w:t>ATHLETES FEATURED</w:t>
      </w:r>
    </w:p>
    <w:p>
      <w:pPr>
        <w:spacing w:before="0" w:after="0"/>
        <w:ind w:left="432"/>
      </w:pPr>
      <w:r>
        <w:rPr>
          <w:rFonts w:ascii="Arial" w:hAnsi="Arial"/>
          <w:b/>
          <w:sz w:val="22"/>
        </w:rPr>
        <w:t>Athlete A</w:t>
      </w:r>
      <w:r>
        <w:rPr>
          <w:rFonts w:ascii="Arial" w:hAnsi="Arial"/>
          <w:sz w:val="22"/>
        </w:rPr>
        <w:t xml:space="preserve">  —  D2 women's softball, outfielder. 12-week coaching arc.</w:t>
      </w:r>
    </w:p>
    <w:p>
      <w:pPr>
        <w:spacing w:before="0" w:after="0"/>
        <w:ind w:left="432"/>
      </w:pPr>
      <w:r>
        <w:rPr>
          <w:rFonts w:ascii="Arial" w:hAnsi="Arial"/>
          <w:b/>
          <w:sz w:val="22"/>
        </w:rPr>
        <w:t>Athlete B</w:t>
      </w:r>
      <w:r>
        <w:rPr>
          <w:rFonts w:ascii="Arial" w:hAnsi="Arial"/>
          <w:sz w:val="22"/>
        </w:rPr>
        <w:t xml:space="preserve">  —  D2 men's track and field, throws. 10-week coaching arc, retiring after PSAC championship.</w:t>
      </w:r>
    </w:p>
    <w:p>
      <w:pPr>
        <w:spacing w:before="120" w:after="40"/>
        <w:ind w:left="432"/>
      </w:pPr>
      <w:r>
        <w:rPr>
          <w:rFonts w:ascii="Arial" w:hAnsi="Arial"/>
          <w:b/>
          <w:i w:val="0"/>
          <w:sz w:val="24"/>
        </w:rPr>
        <w:t>CONTENTS</w:t>
      </w:r>
    </w:p>
    <w:p>
      <w:pPr>
        <w:spacing w:before="0" w:after="0"/>
        <w:ind w:left="720"/>
      </w:pPr>
      <w:r>
        <w:rPr>
          <w:rFonts w:ascii="Arial" w:hAnsi="Arial"/>
          <w:b/>
          <w:sz w:val="22"/>
        </w:rPr>
        <w:t xml:space="preserve">1.  </w:t>
      </w:r>
      <w:r>
        <w:rPr>
          <w:rFonts w:ascii="Arial" w:hAnsi="Arial"/>
          <w:sz w:val="22"/>
        </w:rPr>
        <w:t>Athlete A — Baseline Snapshot</w:t>
      </w:r>
    </w:p>
    <w:p>
      <w:pPr>
        <w:spacing w:before="0" w:after="0"/>
        <w:ind w:left="1440"/>
      </w:pPr>
      <w:r>
        <w:rPr>
          <w:rFonts w:ascii="Arial" w:hAnsi="Arial"/>
          <w:i/>
          <w:sz w:val="20"/>
        </w:rPr>
        <w:t>Day 1 starting point</w:t>
      </w:r>
    </w:p>
    <w:p>
      <w:pPr>
        <w:spacing w:before="0" w:after="0"/>
        <w:ind w:left="720"/>
      </w:pPr>
      <w:r>
        <w:rPr>
          <w:rFonts w:ascii="Arial" w:hAnsi="Arial"/>
          <w:b/>
          <w:sz w:val="22"/>
        </w:rPr>
        <w:t xml:space="preserve">2.  </w:t>
      </w:r>
      <w:r>
        <w:rPr>
          <w:rFonts w:ascii="Arial" w:hAnsi="Arial"/>
          <w:sz w:val="22"/>
        </w:rPr>
        <w:t>Athlete A — 12-week progression visual</w:t>
      </w:r>
    </w:p>
    <w:p>
      <w:pPr>
        <w:spacing w:before="0" w:after="0"/>
        <w:ind w:left="720"/>
      </w:pPr>
      <w:r>
        <w:rPr>
          <w:rFonts w:ascii="Arial" w:hAnsi="Arial"/>
          <w:b/>
          <w:sz w:val="22"/>
        </w:rPr>
        <w:t xml:space="preserve">3.  </w:t>
      </w:r>
      <w:r>
        <w:rPr>
          <w:rFonts w:ascii="Arial" w:hAnsi="Arial"/>
          <w:sz w:val="22"/>
        </w:rPr>
        <w:t>Athlete A — Week 7 Coach Insight</w:t>
      </w:r>
    </w:p>
    <w:p>
      <w:pPr>
        <w:spacing w:before="0" w:after="0"/>
        <w:ind w:left="1440"/>
      </w:pPr>
      <w:r>
        <w:rPr>
          <w:rFonts w:ascii="Arial" w:hAnsi="Arial"/>
          <w:i/>
          <w:sz w:val="20"/>
        </w:rPr>
        <w:t>first competitive failure week</w:t>
      </w:r>
    </w:p>
    <w:p>
      <w:pPr>
        <w:spacing w:before="0" w:after="0"/>
        <w:ind w:left="720"/>
      </w:pPr>
      <w:r>
        <w:rPr>
          <w:rFonts w:ascii="Arial" w:hAnsi="Arial"/>
          <w:b/>
          <w:sz w:val="22"/>
        </w:rPr>
        <w:t xml:space="preserve">4.  </w:t>
      </w:r>
      <w:r>
        <w:rPr>
          <w:rFonts w:ascii="Arial" w:hAnsi="Arial"/>
          <w:sz w:val="22"/>
        </w:rPr>
        <w:t>Athlete A — Week 12 Coach Insight</w:t>
      </w:r>
    </w:p>
    <w:p>
      <w:pPr>
        <w:spacing w:before="0" w:after="0"/>
        <w:ind w:left="1440"/>
      </w:pPr>
      <w:r>
        <w:rPr>
          <w:rFonts w:ascii="Arial" w:hAnsi="Arial"/>
          <w:i/>
          <w:sz w:val="20"/>
        </w:rPr>
        <w:t>peak / phase-sustained</w:t>
      </w:r>
    </w:p>
    <w:p>
      <w:pPr>
        <w:spacing w:before="0" w:after="0"/>
        <w:ind w:left="720"/>
      </w:pPr>
      <w:r>
        <w:rPr>
          <w:rFonts w:ascii="Arial" w:hAnsi="Arial"/>
          <w:b/>
          <w:sz w:val="22"/>
        </w:rPr>
        <w:t xml:space="preserve">5.  </w:t>
      </w:r>
      <w:r>
        <w:rPr>
          <w:rFonts w:ascii="Arial" w:hAnsi="Arial"/>
          <w:sz w:val="22"/>
        </w:rPr>
        <w:t>Athlete A — Week 12 Coaching Message</w:t>
      </w:r>
    </w:p>
    <w:p>
      <w:pPr>
        <w:spacing w:before="0" w:after="0"/>
        <w:ind w:left="1440"/>
      </w:pPr>
      <w:r>
        <w:rPr>
          <w:rFonts w:ascii="Arial" w:hAnsi="Arial"/>
          <w:i/>
          <w:sz w:val="20"/>
        </w:rPr>
        <w:t>athlete-facing cross-audience reference</w:t>
      </w:r>
    </w:p>
    <w:p>
      <w:pPr>
        <w:spacing w:before="0" w:after="0"/>
        <w:ind w:left="720"/>
      </w:pPr>
      <w:r>
        <w:rPr>
          <w:rFonts w:ascii="Arial" w:hAnsi="Arial"/>
          <w:b/>
          <w:sz w:val="22"/>
        </w:rPr>
        <w:t xml:space="preserve">6.  </w:t>
      </w:r>
      <w:r>
        <w:rPr>
          <w:rFonts w:ascii="Arial" w:hAnsi="Arial"/>
          <w:sz w:val="22"/>
        </w:rPr>
        <w:t>Athlete A — Week 12 Parent Coaching Message</w:t>
      </w:r>
    </w:p>
    <w:p>
      <w:pPr>
        <w:spacing w:before="0" w:after="0"/>
        <w:ind w:left="1440"/>
      </w:pPr>
      <w:r>
        <w:rPr>
          <w:rFonts w:ascii="Arial" w:hAnsi="Arial"/>
          <w:i/>
          <w:sz w:val="20"/>
        </w:rPr>
        <w:t>parent-facing cross-audience reference</w:t>
      </w:r>
    </w:p>
    <w:p>
      <w:pPr>
        <w:spacing w:before="0" w:after="0"/>
        <w:ind w:left="720"/>
      </w:pPr>
      <w:r>
        <w:rPr>
          <w:rFonts w:ascii="Arial" w:hAnsi="Arial"/>
          <w:b/>
          <w:sz w:val="22"/>
        </w:rPr>
        <w:t xml:space="preserve">7.  </w:t>
      </w:r>
      <w:r>
        <w:rPr>
          <w:rFonts w:ascii="Arial" w:hAnsi="Arial"/>
          <w:sz w:val="22"/>
        </w:rPr>
        <w:t>Athlete B — 10-week progression visual</w:t>
      </w:r>
    </w:p>
    <w:p>
      <w:pPr>
        <w:spacing w:before="0" w:after="0"/>
        <w:ind w:left="720"/>
      </w:pPr>
      <w:r>
        <w:rPr>
          <w:rFonts w:ascii="Arial" w:hAnsi="Arial"/>
          <w:b/>
          <w:sz w:val="22"/>
        </w:rPr>
        <w:t xml:space="preserve">8.  </w:t>
      </w:r>
      <w:r>
        <w:rPr>
          <w:rFonts w:ascii="Arial" w:hAnsi="Arial"/>
          <w:sz w:val="22"/>
        </w:rPr>
        <w:t>Athlete B — Week 10 Coach Insight</w:t>
      </w:r>
    </w:p>
    <w:p>
      <w:pPr>
        <w:spacing w:before="0" w:after="0"/>
        <w:ind w:left="1440"/>
      </w:pPr>
      <w:r>
        <w:rPr>
          <w:rFonts w:ascii="Arial" w:hAnsi="Arial"/>
          <w:i/>
          <w:sz w:val="20"/>
        </w:rPr>
        <w:t>final week + phase advancement</w:t>
      </w:r>
    </w:p>
    <w:p>
      <w:pPr>
        <w:spacing w:before="0" w:after="0"/>
        <w:ind w:left="720"/>
      </w:pPr>
      <w:r>
        <w:rPr>
          <w:rFonts w:ascii="Arial" w:hAnsi="Arial"/>
          <w:b/>
          <w:sz w:val="22"/>
        </w:rPr>
        <w:t xml:space="preserve">9.  </w:t>
      </w:r>
      <w:r>
        <w:rPr>
          <w:rFonts w:ascii="Arial" w:hAnsi="Arial"/>
          <w:sz w:val="22"/>
        </w:rPr>
        <w:t>Sample Team Snapshot</w:t>
      </w:r>
    </w:p>
    <w:p>
      <w:pPr>
        <w:spacing w:before="0" w:after="0"/>
        <w:ind w:left="1440"/>
      </w:pPr>
      <w:r>
        <w:rPr>
          <w:rFonts w:ascii="Arial" w:hAnsi="Arial"/>
          <w:i/>
          <w:sz w:val="20"/>
        </w:rPr>
        <w:t>institutional aggregate dashboard</w:t>
      </w:r>
    </w:p>
    <w:p>
      <w:pPr>
        <w:pBdr>
          <w:bottom w:val="single" w:sz="6" w:space="1" w:color="888888"/>
        </w:pBdr>
      </w:pPr>
    </w:p>
    <w:p>
      <w:pPr>
        <w:spacing w:before="80"/>
        <w:ind w:left="432"/>
      </w:pPr>
      <w:r>
        <w:rPr>
          <w:rFonts w:ascii="Arial" w:hAnsi="Arial"/>
          <w:b w:val="0"/>
          <w:i/>
          <w:sz w:val="18"/>
        </w:rPr>
        <w:t>All material confidential under NDA. Printed copies are collected at end of session; digital copies are available on request and delivered as personalized watermarked PDFs.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  <w:r>
      <w:rPr>
        <w:rFonts w:ascii="Arial" w:hAnsi="Arial"/>
        <w:sz w:val="16"/>
      </w:rPr>
      <w:t xml:space="preserve"> of 1  |  INSTITUTIONAL  |  CONFIDENTIAL — NDA APPLIES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