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w:t>
      </w:r>
    </w:p>
    <w:p>
      <w:r>
        <w:rPr>
          <w:b/>
        </w:rPr>
        <w:t xml:space="preserve">Athlete: </w:t>
      </w:r>
      <w:r>
        <w:t>Angelo Allen Week: April 20-26, 2026 Report Type: Weekly Performance Insight Classification: Informational Only</w:t>
      </w:r>
    </w:p>
    <w:p>
      <w:r>
        <w:t>These indicators are informational only and may not be used as a basis for participation, selection, or disciplinary decisions.</w:t>
      </w:r>
    </w:p>
    <w:p>
      <w:pPr>
        <w:pStyle w:val="Heading2"/>
      </w:pPr>
      <w:r>
        <w:t>1. WEEKLY PERFORMANCE CLASSIFICATION</w:t>
      </w:r>
    </w:p>
    <w:p>
      <w:r>
        <w:rPr>
          <w:b/>
        </w:rPr>
        <w:t xml:space="preserve">Weekly Tier: </w:t>
      </w:r>
      <w:r>
        <w:t>Growth Trend Direction: → Stable</w:t>
      </w:r>
    </w:p>
    <w:p>
      <w:r>
        <w:t>This week reflects sustained Growth-tier execution at the floor of the productive scorecard threshold (5 productive days out of 7). Behavioral execution held across academic, vocational, and athletic domains, with consecutive-week competition execution following the prior week's program-best performance. This period's competition produced wins in two of three contested events with a deliberate mid-competition decision to scratch the third event for championship preservation.</w:t>
      </w:r>
    </w:p>
    <w:p>
      <w:pPr>
        <w:pStyle w:val="Heading2"/>
      </w:pPr>
      <w:r>
        <w:t>2. CONSISTENCY SIGNAL</w:t>
      </w:r>
    </w:p>
    <w:p>
      <w:r>
        <w:rPr>
          <w:b/>
        </w:rPr>
        <w:t xml:space="preserve">Status: </w:t>
      </w:r>
      <w:r>
        <w:t>Stable Positive</w:t>
      </w:r>
    </w:p>
    <w:p>
      <w:r>
        <w:t>Behavioral execution remained stable across the second consecutive week post-prior-disruption. No Missed days, productive distribution sustained, no recommitment events triggered. Cross-week consistency from the prior week is fully maintained, indicating execution stability is not contingent on environmental resolution and now demonstrates back-to-back consecutive-week sustainability.</w:t>
      </w:r>
    </w:p>
    <w:p>
      <w:pPr>
        <w:pStyle w:val="Heading2"/>
      </w:pPr>
      <w:r>
        <w:t>3. FOCUS DISTRIBUTION (BULLSEYE TREND)</w:t>
      </w:r>
    </w:p>
    <w:p>
      <w:r>
        <w:rPr>
          <w:b/>
        </w:rPr>
        <w:t xml:space="preserve">Primary Focus Ring: </w:t>
      </w:r>
      <w:r>
        <w:t>Center-Dominant</w:t>
      </w:r>
    </w:p>
    <w:p>
      <w:r>
        <w:t>Sustained center-dominant focus distribution for the fourth consecutive period. Consistent focus profile maintained across the recent reporting periods. No noise fixation detected.</w:t>
      </w:r>
    </w:p>
    <w:p>
      <w:pPr>
        <w:pStyle w:val="Heading2"/>
      </w:pPr>
      <w:r>
        <w:t>4. RECOMMITMENT AND RESPONSE SIGNAL</w:t>
      </w:r>
    </w:p>
    <w:p>
      <w:r>
        <w:t>Recommitment Strength: Not Applicable</w:t>
      </w:r>
    </w:p>
    <w:p>
      <w:r>
        <w:rPr>
          <w:b/>
        </w:rPr>
        <w:t xml:space="preserve">Response Stability: </w:t>
      </w:r>
      <w:r>
        <w:t>Consistent Response Pattern</w:t>
      </w:r>
    </w:p>
    <w:p>
      <w:r>
        <w:t>No recommitment events occurred this week as no Missed days were recorded. Cross-week recovery from the prior disruption window is now sustained through two consecutive weeks. Response stability indicators remained consistent with the program's strongest patterns.</w:t>
      </w:r>
    </w:p>
    <w:p>
      <w:pPr>
        <w:pStyle w:val="Heading2"/>
      </w:pPr>
      <w:r>
        <w:t>5. CONFIDENCE MOMENTUM (DIRECTIONAL ONLY)</w:t>
      </w:r>
    </w:p>
    <w:p>
      <w:r>
        <w:rPr>
          <w:b/>
        </w:rPr>
        <w:t xml:space="preserve">Trend: </w:t>
      </w:r>
      <w:r>
        <w:t>↑ Building</w:t>
      </w:r>
    </w:p>
    <w:p>
      <w:r>
        <w:t>Confidence indicators show continued positive directional movement, driven by preparation ownership and consecutive-week competitive execution. Confidence framing operates at the in-competition real-time level. Confidence remains preparation-linked rather than outcome-linked.</w:t>
      </w:r>
    </w:p>
    <w:p>
      <w:pPr>
        <w:pStyle w:val="Heading2"/>
      </w:pPr>
      <w:r>
        <w:t>6. STRESS LOAD INDICATOR</w:t>
      </w:r>
    </w:p>
    <w:p>
      <w:r>
        <w:rPr>
          <w:b/>
        </w:rPr>
        <w:t xml:space="preserve">Band: </w:t>
      </w:r>
      <w:r>
        <w:t>Low</w:t>
      </w:r>
    </w:p>
    <w:p>
      <w:r>
        <w:t>Overall stress indicators remained within the low range. Self-regulation signals show stable composure across a back-to-back competition window. Forward-looking pattern indicators are process-oriented heading into the championship week.</w:t>
      </w:r>
    </w:p>
    <w:p>
      <w:pPr>
        <w:pStyle w:val="Heading2"/>
      </w:pPr>
      <w:r>
        <w:t>7. GROWTH PHASE STATUS</w:t>
      </w:r>
    </w:p>
    <w:p>
      <w:r>
        <w:rPr>
          <w:b/>
        </w:rPr>
        <w:t xml:space="preserve">Current Phase: </w:t>
      </w:r>
      <w:r>
        <w:t>Consistent Movement: ↑ Advancing</w:t>
      </w:r>
    </w:p>
    <w:p>
      <w:r>
        <w:t>The athlete has advanced from Developing to Consistent. Phase advancement criteria are met: rolling 4-week productive-day rate clears the qualifying threshold for the first time in the program, paired with the second consecutive week of full alignment and stable positive distribution. Advancement occurs in the final program week before the athlete's last collegiate competition. Continued phase classification beyond this window is not applicable as the athlete is retiring from collegiate competition.</w:t>
      </w:r>
    </w:p>
    <w:p>
      <w:pPr>
        <w:pStyle w:val="Heading2"/>
      </w:pPr>
      <w:r>
        <w:t>8. KEY PERFORMANCE SIGNAL (WEEKLY PRIORITY)</w:t>
      </w:r>
    </w:p>
    <w:p>
      <w:r>
        <w:t>Primary Development Signal This Week: In-Competition Strategic Decision-Making</w:t>
      </w:r>
    </w:p>
    <w:p>
      <w:r>
        <w:t>The most relevant development marker this week is the operationalization of the preparation system at the in-competition real-time level. Two strategic decisions occurred during a single competition this period (the meet-attendance decision and the mid-competition event-scratch decision), with causal reasoning patterns observable in both. The same decision pattern that produced the prior week's program-best competitive output is now operating one timescale earlier and one decision deeper. The system has demonstrated repeatability across three operating timescales: retrospective lesson extraction, prospective preparation design, and in-competition real-time adjustment.</w:t>
      </w:r>
    </w:p>
    <w:p>
      <w:pPr>
        <w:pStyle w:val="Heading2"/>
      </w:pPr>
      <w:r>
        <w:t>9. COACH CONTEXT CUE</w:t>
      </w:r>
    </w:p>
    <w:p>
      <w:r>
        <w:t>Reinforce the pattern of strategic decision-making at the in-competition real-time level. The next scheduled competition is the conference championship across three days at the same venue where the athlete's first competitive disappointment of the recorded program occurred ten weeks prior. Reinforcement should focus on the decision-making system across the three competition days rather than on outcome targets. Monitor sustainability of the decision system under championship-level stakes and across consecutive competition days. This is the final week of the athlete's collegiate career.</w:t>
      </w:r>
    </w:p>
    <w:p>
      <w:pPr>
        <w:pStyle w:val="Heading2"/>
      </w:pPr>
      <w:r>
        <w:t>10. COMPOSITE READINESS SIGNAL</w:t>
      </w:r>
    </w:p>
    <w:p>
      <w:r>
        <w:t>↑ Positive (Green)</w:t>
      </w:r>
    </w:p>
    <w:p>
      <w:r>
        <w:t>Routine stability, controllable alignment, recommitment history, and confidence momentum all support a positive readiness signal heading into the conference championship. Execution sustained stable positive distribution across consecutive competition weeks. Preparation system now operates at three demonstrated timescales. Phase classification advancement is supported by the data through this week. Readiness is supported at multiple dimensions heading into the season-end target event.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