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ATHLETE A — D2 WOMEN'S SOFTBALL, OUTFIELDER</w:t>
      </w:r>
    </w:p>
    <w:p>
      <w:pPr>
        <w:jc w:val="center"/>
      </w:pPr>
      <w:r>
        <w:rPr>
          <w:rFonts w:ascii="Arial" w:hAnsi="Arial"/>
          <w:b w:val="0"/>
          <w:color w:val="555555"/>
          <w:sz w:val="20"/>
        </w:rPr>
        <w:t>12-Week Coaching Arc  |  Athlete A — Progression Visual  |  Jan 12 – Apr 26,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9792"/>
            <w:shd w:val="clear" w:color="auto" w:fill="88888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CONFIDENTIAL — NDA APPLIES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i w:val="0"/>
          <w:sz w:val="20"/>
        </w:rPr>
        <w:t>PHASE TRAJECTORY</w:t>
      </w:r>
    </w:p>
    <w:p>
      <w:pPr>
        <w:spacing w:after="80"/>
        <w:ind w:left="288"/>
      </w:pPr>
      <w:r>
        <w:rPr>
          <w:rFonts w:ascii="Arial" w:hAnsi="Arial"/>
          <w:b w:val="0"/>
          <w:i w:val="0"/>
          <w:sz w:val="22"/>
        </w:rPr>
        <w:t>Developing  →  Consistent  (advancement at Wk 5)</w:t>
      </w:r>
    </w:p>
    <w:p>
      <w:pPr>
        <w:spacing w:before="160" w:after="80"/>
      </w:pPr>
      <w:r>
        <w:rPr>
          <w:rFonts w:ascii="Arial" w:hAnsi="Arial"/>
          <w:b/>
          <w:i w:val="0"/>
          <w:sz w:val="20"/>
        </w:rPr>
        <w:t>WEEKLY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9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10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11</w:t>
            </w:r>
          </w:p>
        </w:tc>
        <w:tc>
          <w:tcPr>
            <w:tcW w:type="dxa" w:w="780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12</w:t>
            </w:r>
          </w:p>
        </w:tc>
      </w:tr>
      <w:tr>
        <w:tc>
          <w:tcPr>
            <w:tcW w:type="dxa" w:w="780"/>
            <w:shd w:val="clear" w:color="auto" w:fill="C8E6C9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B7DFB8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A5D6A7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93CD96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81C784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74C078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66BB6A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52AB57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388E3C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2E7D32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246F2A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type="dxa" w:w="780"/>
            <w:shd w:val="clear" w:color="auto" w:fill="1B5E20"/>
          </w:tcPr>
          <w:p>
            <w:pPr>
              <w:spacing w:before="0" w:after="0"/>
            </w:pPr>
            <w:r>
              <w:rPr>
                <w:sz w:val="22"/>
              </w:rPr>
              <w:t xml:space="preserve"> </w:t>
            </w:r>
          </w:p>
        </w:tc>
      </w:tr>
    </w:tbl>
    <w:p>
      <w:pPr>
        <w:spacing w:before="40" w:after="160"/>
      </w:pPr>
      <w:r>
        <w:rPr>
          <w:rFonts w:ascii="Arial" w:hAnsi="Arial"/>
          <w:b w:val="0"/>
          <w:i/>
          <w:sz w:val="18"/>
        </w:rPr>
        <w:t>Growth across all 12 weeks. 82 of 84 days = Win. Gradient = building momentum across the arc.</w:t>
      </w:r>
    </w:p>
    <w:p>
      <w:pPr>
        <w:spacing w:before="80" w:after="40"/>
      </w:pPr>
      <w:r>
        <w:rPr>
          <w:rFonts w:ascii="Arial" w:hAnsi="Arial"/>
          <w:b/>
          <w:i w:val="0"/>
          <w:sz w:val="20"/>
        </w:rPr>
        <w:t>KEY INFLECTION POINTS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1-2  </w:t>
      </w:r>
      <w:r>
        <w:rPr>
          <w:rFonts w:ascii="Arial" w:hAnsi="Arial"/>
          <w:sz w:val="20"/>
        </w:rPr>
        <w:t>Outcome-reactive baseline at intake. Preparation-energized as program starts.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3  </w:t>
      </w:r>
      <w:r>
        <w:rPr>
          <w:rFonts w:ascii="Arial" w:hAnsi="Arial"/>
          <w:sz w:val="20"/>
        </w:rPr>
        <w:t>HIGH EI. Derailer activated, structure held. Brief disappointment → reset same-week. Hinge habit operating as designed.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4  </w:t>
      </w:r>
      <w:r>
        <w:rPr>
          <w:rFonts w:ascii="Arial" w:hAnsi="Arial"/>
          <w:sz w:val="20"/>
        </w:rPr>
        <w:t>Action-proven. First RQS=4 in program (deepest reflection quality available). One competitive chance → breakthrough at-bat: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"the one chance I got, I did something with."</w:t>
            </w:r>
          </w:p>
        </w:tc>
      </w:tr>
    </w:tbl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5  </w:t>
      </w:r>
      <w:r>
        <w:rPr>
          <w:rFonts w:ascii="Arial" w:hAnsi="Arial"/>
          <w:sz w:val="20"/>
        </w:rPr>
        <w:t>↑ PHASE ADVANCEMENT to Consistent. Identity-embedded statement in journal: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"If I'm given a chance, use it well."</w:t>
            </w:r>
          </w:p>
        </w:tc>
      </w:tr>
    </w:tbl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6  </w:t>
      </w:r>
      <w:r>
        <w:rPr>
          <w:rFonts w:ascii="Arial" w:hAnsi="Arial"/>
          <w:sz w:val="20"/>
        </w:rPr>
        <w:t>First competitive validation: pinch-hit single, first collegiate start. NC composure held.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7  </w:t>
      </w:r>
      <w:r>
        <w:rPr>
          <w:rFonts w:ascii="Arial" w:hAnsi="Arial"/>
          <w:sz w:val="20"/>
        </w:rPr>
        <w:t>FIRST COMPETITIVE FAILURE — pinch-hit strikeout. Reset language by Wednesday. Failure-resilient.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8  </w:t>
      </w:r>
      <w:r>
        <w:rPr>
          <w:rFonts w:ascii="Arial" w:hAnsi="Arial"/>
          <w:sz w:val="20"/>
        </w:rPr>
        <w:t>Agency-driven. First self-directed development initiative — defensive practice with Kabine on her own time. Attention-management awareness: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"separate softball from my life."</w:t>
            </w:r>
          </w:p>
        </w:tc>
      </w:tr>
    </w:tbl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9  </w:t>
      </w:r>
      <w:r>
        <w:rPr>
          <w:rFonts w:ascii="Arial" w:hAnsi="Arial"/>
          <w:sz w:val="20"/>
        </w:rPr>
        <w:t>First direct coach advocacy. Second competitive failure → same-day composure.</w:t>
      </w:r>
    </w:p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10  </w:t>
      </w:r>
      <w:r>
        <w:rPr>
          <w:rFonts w:ascii="Arial" w:hAnsi="Arial"/>
          <w:sz w:val="20"/>
        </w:rPr>
        <w:t>Acceptance-oriented. Zero playing time.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"I think I'm just at the point where I don't even care to play anymore... I just want everyone to do well."</w:t>
            </w:r>
          </w:p>
        </w:tc>
      </w:tr>
    </w:tbl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11  </w:t>
      </w:r>
      <w:r>
        <w:rPr>
          <w:rFonts w:ascii="Arial" w:hAnsi="Arial"/>
          <w:sz w:val="20"/>
        </w:rPr>
        <w:t>Re-engaged inside acceptance. First Neutral days in 70-day Win streak (challenge-writing, not behavioral disengagement). First specific physical controllable named: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"running on toes, not backs of feet."</w:t>
            </w:r>
          </w:p>
        </w:tc>
      </w:tr>
    </w:tbl>
    <w:p>
      <w:pPr>
        <w:spacing w:before="40" w:after="0"/>
        <w:ind w:left="0"/>
      </w:pPr>
      <w:r>
        <w:rPr>
          <w:rFonts w:ascii="Arial" w:hAnsi="Arial"/>
          <w:b/>
          <w:sz w:val="20"/>
        </w:rPr>
        <w:t xml:space="preserve">Wk 12  </w:t>
      </w:r>
      <w:r>
        <w:rPr>
          <w:rFonts w:ascii="Arial" w:hAnsi="Arial"/>
          <w:sz w:val="20"/>
        </w:rPr>
        <w:t>ARTICULATED PARADOX COMPOSURE — peak moment. Wednesday breakthrough: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"fast asf today tbh, got all my mf bunts down."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Ind w:w="720" w:type="dxa"/>
      </w:tblPr>
      <w:tblGrid>
        <w:gridCol w:w="10512"/>
      </w:tblGrid>
      <w:tr>
        <w:tc>
          <w:tcPr>
            <w:tcW w:type="dxa" w:w="7920"/>
            <w:shd w:val="clear" w:color="auto" w:fill="F5F5F5"/>
            <w:tcBorders>
              <w:top w:val="nil"/>
              <w:right w:val="nil"/>
              <w:bottom w:val="nil"/>
              <w:left w:val="single" w:sz="24" w:color="2E7D32"/>
            </w:tcBorders>
            <w:vAlign w:val="center"/>
          </w:tcPr>
          <w:p>
            <w:pPr>
              <w:spacing w:before="40" w:after="40"/>
              <w:ind w:left="216"/>
            </w:pPr>
            <w:r>
              <w:rPr>
                <w:rFonts w:ascii="Arial" w:hAnsi="Arial"/>
                <w:i/>
                <w:sz w:val="20"/>
              </w:rPr>
              <w:t>"I did so good, and it still just like doesnt matter. but i cant say it doesnt matter because like it does, its just annoying but once again oh well."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spacing w:before="80" w:after="40"/>
      </w:pPr>
      <w:r>
        <w:rPr>
          <w:rFonts w:ascii="Arial" w:hAnsi="Arial"/>
          <w:b/>
          <w:i w:val="0"/>
          <w:sz w:val="20"/>
        </w:rPr>
        <w:t>INTAKE → CURRENT</w:t>
      </w:r>
    </w:p>
    <w:p>
      <w:pPr>
        <w:ind w:left="288"/>
      </w:pPr>
      <w:r>
        <w:rPr>
          <w:rFonts w:ascii="Arial" w:hAnsi="Arial"/>
          <w:b w:val="0"/>
          <w:i/>
          <w:sz w:val="22"/>
        </w:rPr>
        <w:t>FROM: outcome-dependent confidence.  TO: outcome-INDEPENDENT, self-authored recognition.</w:t>
      </w:r>
    </w:p>
    <w:p>
      <w:pPr>
        <w:spacing w:before="80"/>
        <w:ind w:left="288"/>
      </w:pPr>
      <w:r>
        <w:rPr>
          <w:rFonts w:ascii="Arial" w:hAnsi="Arial"/>
          <w:b w:val="0"/>
          <w:i w:val="0"/>
          <w:sz w:val="20"/>
        </w:rPr>
        <w:t>The same athlete who entered the program needing external validation to feel confident is now naming her own performance and sustaining composure when external recognition does not arrive.</w:t>
      </w:r>
    </w:p>
    <w:sectPr w:rsidR="00FC693F" w:rsidRPr="0006063C" w:rsidSect="00034616">
      <w:footerReference w:type="default" r:id="rId9"/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  <w:r>
      <w:rPr>
        <w:rFonts w:ascii="Arial" w:hAnsi="Arial"/>
        <w:sz w:val="16"/>
      </w:rPr>
      <w:t xml:space="preserve"> of 1  |  ATHLETE A  |  CONFIDENTIAL — NDA APPLIES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