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Athlete: </w:t>
      </w:r>
      <w:r>
        <w:t>Grace Kindel Week: 2026-03-09 to 2026-03-15 Report Type: Weekly Performance Insight Classification: Informational Only</w:t>
      </w:r>
    </w:p>
    <w:p>
      <w:r>
        <w:t>"These indicators are informational only and may not be used as a basis for participation, selection, or disciplinary decisions."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2"/>
      </w:pPr>
      <w:r>
        <w:t>1) WEEKLY PERFORMANCE CLASSIFICATION</w:t>
      </w:r>
    </w:p>
    <w:p>
      <w:pPr>
        <w:spacing w:before="0" w:after="120"/>
        <w:pBdr>
          <w:bottom w:val="single" w:sz="6" w:space="1" w:color="808080"/>
        </w:pBdr>
      </w:pPr>
    </w:p>
    <w:p>
      <w:r>
        <w:rPr>
          <w:b/>
        </w:rPr>
        <w:t xml:space="preserve">Weekly Tier: </w:t>
      </w:r>
      <w:r>
        <w:t>Growth Trend Direction: → Stable</w:t>
      </w:r>
    </w:p>
    <w:p>
      <w:r>
        <w:t>This week reflects a continued Growth classification with stable directional momentum. Behavioral execution indicators remained at maximum across a week that included a competitive setback. Seventh consecutive Growth-tier week.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2"/>
      </w:pPr>
      <w:r>
        <w:t>2) CONSISTENCY SIGNAL</w:t>
      </w:r>
    </w:p>
    <w:p>
      <w:pPr>
        <w:spacing w:before="0" w:after="120"/>
        <w:pBdr>
          <w:bottom w:val="single" w:sz="6" w:space="1" w:color="808080"/>
        </w:pBdr>
      </w:pPr>
    </w:p>
    <w:p>
      <w:r>
        <w:rPr>
          <w:b/>
        </w:rPr>
        <w:t xml:space="preserve">Status: </w:t>
      </w:r>
      <w:r>
        <w:t>Stable</w:t>
      </w:r>
    </w:p>
    <w:p>
      <w:r>
        <w:t>Behavioral execution patterns maintained stable positive alignment throughout the reporting period, extending the program-long streak to forty-nine consecutive Win days across seven weeks. No variability indicators detected.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2"/>
      </w:pPr>
      <w:r>
        <w:t>3) FOCUS DISTRIBUTION (BULLSEYE TREND)</w:t>
      </w:r>
    </w:p>
    <w:p>
      <w:pPr>
        <w:spacing w:before="0" w:after="120"/>
        <w:pBdr>
          <w:bottom w:val="single" w:sz="6" w:space="1" w:color="808080"/>
        </w:pBdr>
      </w:pPr>
    </w:p>
    <w:p>
      <w:r>
        <w:rPr>
          <w:b/>
        </w:rPr>
        <w:t xml:space="preserve">Primary Focus Ring: </w:t>
      </w:r>
      <w:r>
        <w:t>Center-Dominant</w:t>
      </w:r>
    </w:p>
    <w:p>
      <w:r>
        <w:t>Sustained center-dominant focus distribution across the reporting period. No noise fixation detected.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2"/>
      </w:pPr>
      <w:r>
        <w:t>4) RECOMMITMENT &amp; RESPONSE SIGNAL</w:t>
      </w:r>
    </w:p>
    <w:p>
      <w:pPr>
        <w:spacing w:before="0" w:after="120"/>
        <w:pBdr>
          <w:bottom w:val="single" w:sz="6" w:space="1" w:color="808080"/>
        </w:pBdr>
      </w:pPr>
    </w:p>
    <w:p>
      <w:r>
        <w:t>Recommitment Strength: Not Applicable</w:t>
      </w:r>
    </w:p>
    <w:p>
      <w:r>
        <w:rPr>
          <w:b/>
        </w:rPr>
        <w:t xml:space="preserve">Response Stability: </w:t>
      </w:r>
      <w:r>
        <w:t>Not Applicable</w:t>
      </w:r>
    </w:p>
    <w:p>
      <w:r>
        <w:t>No adverse execution events required recommitment during this reporting period. Response stability indicators remain not applicable due to sustained positive execution across the full reporting window.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2"/>
      </w:pPr>
      <w:r>
        <w:t>5) CONFIDENCE MOMENTUM (DIRECTIONAL ONLY)</w:t>
      </w:r>
    </w:p>
    <w:p>
      <w:pPr>
        <w:spacing w:before="0" w:after="120"/>
        <w:pBdr>
          <w:bottom w:val="single" w:sz="6" w:space="1" w:color="808080"/>
        </w:pBdr>
      </w:pPr>
    </w:p>
    <w:p>
      <w:r>
        <w:rPr>
          <w:b/>
        </w:rPr>
        <w:t xml:space="preserve">Trend: </w:t>
      </w:r>
      <w:r>
        <w:t>→ Building</w:t>
      </w:r>
    </w:p>
    <w:p>
      <w:r>
        <w:t>Confidence momentum indicators show a continued building trend, reinforced by successful adversity processing this period. A competitive setback was processed and resolved within forty-eight hours without disruption to behavioral execution patterns. Composure indicators sustained throughout the reporting period.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2"/>
      </w:pPr>
      <w:r>
        <w:t>6) STRESS LOAD INDICATOR (BAND-BASED)</w:t>
      </w:r>
    </w:p>
    <w:p>
      <w:pPr>
        <w:spacing w:before="0" w:after="120"/>
        <w:pBdr>
          <w:bottom w:val="single" w:sz="6" w:space="1" w:color="808080"/>
        </w:pBdr>
      </w:pPr>
    </w:p>
    <w:p>
      <w:r>
        <w:rPr>
          <w:b/>
        </w:rPr>
        <w:t xml:space="preserve">Band: </w:t>
      </w:r>
      <w:r>
        <w:t>Moderate</w:t>
      </w:r>
    </w:p>
    <w:p>
      <w:r>
        <w:t>Overall stress load indicators shifted to the moderate band for this reporting period, reflecting competitive-season demands and the competitive setback early in the period.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2"/>
      </w:pPr>
      <w:r>
        <w:t>7) GROWTH PHASE STATUS</w:t>
      </w:r>
    </w:p>
    <w:p>
      <w:pPr>
        <w:spacing w:before="0" w:after="120"/>
        <w:pBdr>
          <w:bottom w:val="single" w:sz="6" w:space="1" w:color="808080"/>
        </w:pBdr>
      </w:pPr>
    </w:p>
    <w:p>
      <w:r>
        <w:rPr>
          <w:b/>
        </w:rPr>
        <w:t xml:space="preserve">Current Phase: </w:t>
      </w:r>
      <w:r>
        <w:t>Consistent Movement: → Stable</w:t>
      </w:r>
    </w:p>
    <w:p>
      <w:r>
        <w:t>Developmental indicators remain within the Consistent phase. The competitive setback this period was processed through established behavioral mechanisms without phase-level regression indicators. Execution and controllable alignment continue to support phase stability.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2"/>
      </w:pPr>
      <w:r>
        <w:t>8) KEY PERFORMANCE SIGNAL (WEEKLY PRIORITY)</w:t>
      </w:r>
    </w:p>
    <w:p>
      <w:pPr>
        <w:spacing w:before="0" w:after="120"/>
        <w:pBdr>
          <w:bottom w:val="single" w:sz="6" w:space="1" w:color="808080"/>
        </w:pBdr>
      </w:pPr>
    </w:p>
    <w:p>
      <w:r>
        <w:t>Primary Development Signal This Week: Post-Setback Recovery Quality</w:t>
      </w:r>
    </w:p>
    <w:p>
      <w:r>
        <w:t>Current development indicators center on the processing and resolution of the first competitive disappointment in the program. Behavioral response patterns demonstrated functional adversity processing: brief acknowledgment followed by active reset within forty-eight hours, with no disruption to daily execution. This represents the first direct test of adversity-response mechanisms under competitive conditions, producing a positive developmental signal.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2"/>
      </w:pPr>
      <w:r>
        <w:t>9) COACH CONTEXT CUE</w:t>
      </w:r>
    </w:p>
    <w:p>
      <w:pPr>
        <w:spacing w:before="0" w:after="120"/>
        <w:pBdr>
          <w:bottom w:val="single" w:sz="6" w:space="1" w:color="808080"/>
        </w:pBdr>
      </w:pPr>
    </w:p>
    <w:p>
      <w:r>
        <w:t>Recognize the post-setback recovery pattern. The competitive disappointment was processed and resolved without behavioral execution disruption. Daily execution sustained at maximum throughout the reporting period.</w:t>
      </w:r>
    </w:p>
    <w:p>
      <w:pPr>
        <w:spacing w:before="0" w:after="120"/>
        <w:pBdr>
          <w:bottom w:val="single" w:sz="6" w:space="1" w:color="808080"/>
        </w:pBdr>
      </w:pPr>
    </w:p>
    <w:p>
      <w:pPr>
        <w:pStyle w:val="Heading2"/>
      </w:pPr>
      <w:r>
        <w:t>10) COMPOSITE READINESS SIGNAL</w:t>
      </w:r>
    </w:p>
    <w:p>
      <w:pPr>
        <w:spacing w:before="0" w:after="120"/>
        <w:pBdr>
          <w:bottom w:val="single" w:sz="6" w:space="1" w:color="808080"/>
        </w:pBdr>
      </w:pPr>
    </w:p>
    <w:p>
      <w:r>
        <w:rPr>
          <w:b/>
        </w:rPr>
        <w:t xml:space="preserve">Readiness Level: </w:t>
      </w:r>
      <w:r>
        <w:t>→ Steady (Yellow)</w:t>
      </w:r>
    </w:p>
    <w:p>
      <w:r>
        <w:t>Performance readiness indicators reflect sustained routine stability and continued behavioral execution, moderated by elevated stress load indicators from the competitive setback and continued competition-season demands. Overall pattern supports steady readiness.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6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5E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F3A6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