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Athlete: </w:t>
      </w:r>
      <w:r>
        <w:t>Grace Kindel Week: 2026-04-20 to 2026-04-26 Report Type: Weekly Performance Insight Classification: Informational Only</w:t>
      </w:r>
    </w:p>
    <w:p>
      <w:r>
        <w:t>"These indicators are informational only and may not be used as a basis for participation, selection, or disciplinary decisions."</w:t>
      </w:r>
    </w:p>
    <w:p>
      <w:pPr>
        <w:spacing w:before="0" w:after="120"/>
        <w:pBdr>
          <w:bottom w:val="single" w:sz="6" w:space="1" w:color="808080"/>
        </w:pBdr>
      </w:pPr>
    </w:p>
    <w:p>
      <w:pPr>
        <w:pStyle w:val="Heading2"/>
      </w:pPr>
      <w:r>
        <w:t>1) WEEKLY PERFORMANCE CLASSIFICATION</w:t>
      </w:r>
    </w:p>
    <w:p>
      <w:pPr>
        <w:spacing w:before="0" w:after="120"/>
        <w:pBdr>
          <w:bottom w:val="single" w:sz="6" w:space="1" w:color="808080"/>
        </w:pBdr>
      </w:pPr>
    </w:p>
    <w:p>
      <w:r>
        <w:rPr>
          <w:b/>
        </w:rPr>
        <w:t xml:space="preserve">Weekly Tier: </w:t>
      </w:r>
      <w:r>
        <w:t>Growth Trend Direction: → Stable</w:t>
      </w:r>
    </w:p>
    <w:p>
      <w:r>
        <w:t>This week reflects a continued Growth classification with stable directional momentum. Twelfth consecutive Growth-tier week. Daily execution recovered fully to seven Win days following the prior reporting period's first daily-standard deviations. Emotional intensity indicators remained within the Low band.</w:t>
      </w:r>
    </w:p>
    <w:p>
      <w:pPr>
        <w:spacing w:before="0" w:after="120"/>
        <w:pBdr>
          <w:bottom w:val="single" w:sz="6" w:space="1" w:color="808080"/>
        </w:pBdr>
      </w:pPr>
    </w:p>
    <w:p>
      <w:pPr>
        <w:pStyle w:val="Heading2"/>
      </w:pPr>
      <w:r>
        <w:t>2) CONSISTENCY SIGNAL</w:t>
      </w:r>
    </w:p>
    <w:p>
      <w:pPr>
        <w:spacing w:before="0" w:after="120"/>
        <w:pBdr>
          <w:bottom w:val="single" w:sz="6" w:space="1" w:color="808080"/>
        </w:pBdr>
      </w:pPr>
    </w:p>
    <w:p>
      <w:r>
        <w:rPr>
          <w:b/>
        </w:rPr>
        <w:t xml:space="preserve">Status: </w:t>
      </w:r>
      <w:r>
        <w:t>Stable</w:t>
      </w:r>
    </w:p>
    <w:p>
      <w:r>
        <w:t>Behavioral execution patterns returned to full daily-standard alignment after the prior period's two-day deviation. Twelve consecutive weeks of Growth-tier classification. Daily Win count returned to maximum (seven of seven). Eighty-two Win days across eighty-four program days to date.</w:t>
      </w:r>
    </w:p>
    <w:p>
      <w:pPr>
        <w:spacing w:before="0" w:after="120"/>
        <w:pBdr>
          <w:bottom w:val="single" w:sz="6" w:space="1" w:color="808080"/>
        </w:pBdr>
      </w:pPr>
    </w:p>
    <w:p>
      <w:pPr>
        <w:pStyle w:val="Heading2"/>
      </w:pPr>
      <w:r>
        <w:t>3) FOCUS DISTRIBUTION (BULLSEYE TREND)</w:t>
      </w:r>
    </w:p>
    <w:p>
      <w:pPr>
        <w:spacing w:before="0" w:after="120"/>
        <w:pBdr>
          <w:bottom w:val="single" w:sz="6" w:space="1" w:color="808080"/>
        </w:pBdr>
      </w:pPr>
    </w:p>
    <w:p>
      <w:r>
        <w:rPr>
          <w:b/>
        </w:rPr>
        <w:t xml:space="preserve">Primary Focus Ring: </w:t>
      </w:r>
      <w:r>
        <w:t>Center-Dominant</w:t>
      </w:r>
    </w:p>
    <w:p>
      <w:r>
        <w:t>Sustained center-dominant focus distribution across the reporting period. No noise fixation detected. Consistent composed focus profile across the most recent reporting periods.</w:t>
      </w:r>
    </w:p>
    <w:p>
      <w:pPr>
        <w:spacing w:before="0" w:after="120"/>
        <w:pBdr>
          <w:bottom w:val="single" w:sz="6" w:space="1" w:color="808080"/>
        </w:pBdr>
      </w:pPr>
    </w:p>
    <w:p>
      <w:pPr>
        <w:pStyle w:val="Heading2"/>
      </w:pPr>
      <w:r>
        <w:t>4) RECOMMITMENT &amp; RESPONSE SIGNAL</w:t>
      </w:r>
    </w:p>
    <w:p>
      <w:pPr>
        <w:spacing w:before="0" w:after="120"/>
        <w:pBdr>
          <w:bottom w:val="single" w:sz="6" w:space="1" w:color="808080"/>
        </w:pBdr>
      </w:pPr>
    </w:p>
    <w:p>
      <w:r>
        <w:t>Recommitment Strength: Not Applicable</w:t>
      </w:r>
    </w:p>
    <w:p>
      <w:r>
        <w:rPr>
          <w:b/>
        </w:rPr>
        <w:t xml:space="preserve">Response Stability: </w:t>
      </w:r>
      <w:r>
        <w:t>Not Applicable</w:t>
      </w:r>
    </w:p>
    <w:p>
      <w:r>
        <w:t>No adverse execution events required recommitment during this reporting period. Daily Win execution sustained across the full week without deviation. Response stability indicators remain not applicable for the sustained execution trajectory across the full program history.</w:t>
      </w:r>
    </w:p>
    <w:p>
      <w:pPr>
        <w:spacing w:before="0" w:after="120"/>
        <w:pBdr>
          <w:bottom w:val="single" w:sz="6" w:space="1" w:color="808080"/>
        </w:pBdr>
      </w:pPr>
    </w:p>
    <w:p>
      <w:pPr>
        <w:pStyle w:val="Heading2"/>
      </w:pPr>
      <w:r>
        <w:t>5) CONFIDENCE MOMENTUM (DIRECTIONAL ONLY)</w:t>
      </w:r>
    </w:p>
    <w:p>
      <w:pPr>
        <w:spacing w:before="0" w:after="120"/>
        <w:pBdr>
          <w:bottom w:val="single" w:sz="6" w:space="1" w:color="808080"/>
        </w:pBdr>
      </w:pPr>
    </w:p>
    <w:p>
      <w:r>
        <w:rPr>
          <w:b/>
        </w:rPr>
        <w:t xml:space="preserve">Trend: </w:t>
      </w:r>
      <w:r>
        <w:t>↑ Building</w:t>
      </w:r>
    </w:p>
    <w:p>
      <w:r>
        <w:t>Confidence momentum indicators show forward movement this reporting period through preparation-linked recognition. Confidence framing now includes both preparation-linked recognition and outcome-independent maintenance, indicating progression from prior-period forward-facing readiness signals to current-period self-recognition without external validation requirement.</w:t>
      </w:r>
    </w:p>
    <w:p>
      <w:pPr>
        <w:spacing w:before="0" w:after="120"/>
        <w:pBdr>
          <w:bottom w:val="single" w:sz="6" w:space="1" w:color="808080"/>
        </w:pBdr>
      </w:pPr>
    </w:p>
    <w:p>
      <w:pPr>
        <w:pStyle w:val="Heading2"/>
      </w:pPr>
      <w:r>
        <w:t>6) STRESS LOAD INDICATOR (BAND-BASED)</w:t>
      </w:r>
    </w:p>
    <w:p>
      <w:pPr>
        <w:spacing w:before="0" w:after="120"/>
        <w:pBdr>
          <w:bottom w:val="single" w:sz="6" w:space="1" w:color="808080"/>
        </w:pBdr>
      </w:pPr>
    </w:p>
    <w:p>
      <w:r>
        <w:rPr>
          <w:b/>
        </w:rPr>
        <w:t xml:space="preserve">Band: </w:t>
      </w:r>
      <w:r>
        <w:t>Low</w:t>
      </w:r>
    </w:p>
    <w:p>
      <w:r>
        <w:t>Stress load indicators remained within the Low band. No elevated stress signals detected this reporting period.</w:t>
      </w:r>
    </w:p>
    <w:p>
      <w:pPr>
        <w:spacing w:before="0" w:after="120"/>
        <w:pBdr>
          <w:bottom w:val="single" w:sz="6" w:space="1" w:color="808080"/>
        </w:pBdr>
      </w:pPr>
    </w:p>
    <w:p>
      <w:pPr>
        <w:pStyle w:val="Heading2"/>
      </w:pPr>
      <w:r>
        <w:t>7) GROWTH PHASE STATUS</w:t>
      </w:r>
    </w:p>
    <w:p>
      <w:pPr>
        <w:spacing w:before="0" w:after="120"/>
        <w:pBdr>
          <w:bottom w:val="single" w:sz="6" w:space="1" w:color="808080"/>
        </w:pBdr>
      </w:pPr>
    </w:p>
    <w:p>
      <w:r>
        <w:rPr>
          <w:b/>
        </w:rPr>
        <w:t xml:space="preserve">Current Phase: </w:t>
      </w:r>
      <w:r>
        <w:t>Consistent Movement: → Stable</w:t>
      </w:r>
    </w:p>
    <w:p>
      <w:r>
        <w:t>Developmental indicators remain within the Consistent phase with stable maintenance. Primary execution indicators continue to meet Consistent-phase criteria (sustained Growth tier classification, stable positive consistency profile, behavioral composure, full daily-standard execution recovery). No regression threshold criteria met.</w:t>
      </w:r>
    </w:p>
    <w:p>
      <w:pPr>
        <w:spacing w:before="0" w:after="120"/>
        <w:pBdr>
          <w:bottom w:val="single" w:sz="6" w:space="1" w:color="808080"/>
        </w:pBdr>
      </w:pPr>
    </w:p>
    <w:p>
      <w:pPr>
        <w:pStyle w:val="Heading2"/>
      </w:pPr>
      <w:r>
        <w:t>8) KEY PERFORMANCE SIGNAL (WEEKLY PRIORITY)</w:t>
      </w:r>
    </w:p>
    <w:p>
      <w:pPr>
        <w:spacing w:before="0" w:after="120"/>
        <w:pBdr>
          <w:bottom w:val="single" w:sz="6" w:space="1" w:color="808080"/>
        </w:pBdr>
      </w:pPr>
    </w:p>
    <w:p>
      <w:r>
        <w:t>Primary Development Signal This Week: Preparation-Linked Self-Recognition Emergence</w:t>
      </w:r>
    </w:p>
    <w:p>
      <w:r>
        <w:t>Current development indicators center on the emergence of process-linked self-recognition without external validation requirement. Daily execution fully recovered to seven Win days. The combination of sustained execution, stable composed focus distribution, and confidence framing that integrates preparation-linked recognition with outcome-independent maintenance indicates mature integration of process-anchored confidence as a concurrent active indicator.</w:t>
      </w:r>
    </w:p>
    <w:p>
      <w:pPr>
        <w:spacing w:before="0" w:after="120"/>
        <w:pBdr>
          <w:bottom w:val="single" w:sz="6" w:space="1" w:color="808080"/>
        </w:pBdr>
      </w:pPr>
    </w:p>
    <w:p>
      <w:pPr>
        <w:pStyle w:val="Heading2"/>
      </w:pPr>
      <w:r>
        <w:t>9) COACH CONTEXT CUE</w:t>
      </w:r>
    </w:p>
    <w:p>
      <w:pPr>
        <w:spacing w:before="0" w:after="120"/>
        <w:pBdr>
          <w:bottom w:val="single" w:sz="6" w:space="1" w:color="808080"/>
        </w:pBdr>
      </w:pPr>
    </w:p>
    <w:p>
      <w:r>
        <w:t>Daily-standard execution recovered fully (seven Win days) following the prior period's two daily-standard deviations. Stress load indicators remained within the Low band. End-of-period goal-setting indicator showed engagement with the coaching layer, which the assigned micro-commitment addresses directly. Two competitive events scheduled for the upcoming reporting period (likely final regular-season events). The overall pattern shows mature integration of process-linked confidence and outcome-independent execution maintenance.</w:t>
      </w:r>
    </w:p>
    <w:p>
      <w:pPr>
        <w:spacing w:before="0" w:after="120"/>
        <w:pBdr>
          <w:bottom w:val="single" w:sz="6" w:space="1" w:color="808080"/>
        </w:pBdr>
      </w:pPr>
    </w:p>
    <w:p>
      <w:pPr>
        <w:pStyle w:val="Heading2"/>
      </w:pPr>
      <w:r>
        <w:t>10) COMPOSITE READINESS SIGNAL</w:t>
      </w:r>
    </w:p>
    <w:p>
      <w:pPr>
        <w:spacing w:before="0" w:after="120"/>
        <w:pBdr>
          <w:bottom w:val="single" w:sz="6" w:space="1" w:color="808080"/>
        </w:pBdr>
      </w:pPr>
    </w:p>
    <w:p>
      <w:r>
        <w:rPr>
          <w:b/>
        </w:rPr>
        <w:t xml:space="preserve">Readiness Level: </w:t>
      </w:r>
      <w:r>
        <w:t>↑ Positive (Green)</w:t>
      </w:r>
    </w:p>
    <w:p>
      <w:r>
        <w:t>Performance readiness indicators reflect full daily-standard execution recovery (seven Win days), preparation-linked self-recognition emergence, sustained Low stress-load classification, and forward-aligned alignment status. The combination produces a Positive readiness classification. Two additional competitive events scheduled for the upcoming reporting period.</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