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40"/>
        </w:rPr>
        <w:t>"VirtusFocus" Focus Group</w:t>
      </w:r>
    </w:p>
    <w:p>
      <w:pPr>
        <w:jc w:val="center"/>
      </w:pPr>
      <w:r>
        <w:rPr>
          <w:rFonts w:ascii="Arial" w:hAnsi="Arial"/>
          <w:b w:val="0"/>
          <w:color w:val="555555"/>
          <w:sz w:val="28"/>
        </w:rPr>
        <w:t>May 9,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C77B3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GTM ARTIFACT PACKET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888888"/>
          <w:sz w:val="24"/>
        </w:rPr>
        <w:t>CONFIDENTIAL UNDER NDA</w:t>
      </w:r>
    </w:p>
    <w:p>
      <w:pPr>
        <w:pBdr>
          <w:bottom w:val="single" w:sz="6" w:space="1" w:color="888888"/>
        </w:pBdr>
      </w:pPr>
    </w:p>
    <w:p>
      <w:pPr>
        <w:spacing w:before="120" w:after="40"/>
        <w:ind w:left="432"/>
      </w:pPr>
      <w:r>
        <w:rPr>
          <w:rFonts w:ascii="Arial" w:hAnsi="Arial"/>
          <w:b/>
          <w:i w:val="0"/>
          <w:sz w:val="24"/>
        </w:rPr>
        <w:t>WHAT'S IN THIS PACKET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sz w:val="22"/>
        </w:rPr>
        <w:t>The full product picture. Every audience layer represented — what the athlete reads, what the coach reads, what the parent reads, what the coaching staff receives at the team level, plus selected app mockup printouts.</w:t>
      </w:r>
    </w:p>
    <w:p>
      <w:pPr>
        <w:spacing w:after="40"/>
        <w:ind w:left="432"/>
      </w:pPr>
      <w:r>
        <w:rPr>
          <w:rFonts w:ascii="Arial" w:hAnsi="Arial"/>
          <w:b w:val="0"/>
          <w:i w:val="0"/>
          <w:sz w:val="22"/>
        </w:rPr>
        <w:t>Use these to react to category, story, channel, and architecture during Question 4 of your breakout.</w:t>
      </w:r>
    </w:p>
    <w:p>
      <w:pPr>
        <w:spacing w:before="120" w:after="40"/>
        <w:ind w:left="432"/>
      </w:pPr>
      <w:r>
        <w:rPr>
          <w:rFonts w:ascii="Arial" w:hAnsi="Arial"/>
          <w:b/>
          <w:i w:val="0"/>
          <w:sz w:val="24"/>
        </w:rPr>
        <w:t>ATHLETES FEATURED</w:t>
      </w:r>
    </w:p>
    <w:p>
      <w:pPr>
        <w:spacing w:before="0" w:after="0"/>
        <w:ind w:left="432"/>
      </w:pPr>
      <w:r>
        <w:rPr>
          <w:rFonts w:ascii="Arial" w:hAnsi="Arial"/>
          <w:b/>
          <w:sz w:val="22"/>
        </w:rPr>
        <w:t>Athlete A</w:t>
      </w:r>
      <w:r>
        <w:rPr>
          <w:rFonts w:ascii="Arial" w:hAnsi="Arial"/>
          <w:sz w:val="22"/>
        </w:rPr>
        <w:t xml:space="preserve">  —  D2 women's softball, outfielder. 12-week coaching arc (depth case).</w:t>
      </w:r>
    </w:p>
    <w:p>
      <w:pPr>
        <w:spacing w:before="0" w:after="0"/>
        <w:ind w:left="432"/>
      </w:pPr>
      <w:r>
        <w:rPr>
          <w:rFonts w:ascii="Arial" w:hAnsi="Arial"/>
          <w:b/>
          <w:sz w:val="22"/>
        </w:rPr>
        <w:t>Athlete B</w:t>
      </w:r>
      <w:r>
        <w:rPr>
          <w:rFonts w:ascii="Arial" w:hAnsi="Arial"/>
          <w:sz w:val="22"/>
        </w:rPr>
        <w:t xml:space="preserve">  —  D2 men's track and field, throws. 10-week coaching arc, retiring after PSAC championship.</w:t>
      </w:r>
    </w:p>
    <w:p>
      <w:pPr>
        <w:spacing w:before="0" w:after="0"/>
        <w:ind w:left="432"/>
      </w:pPr>
      <w:r>
        <w:rPr>
          <w:rFonts w:ascii="Arial" w:hAnsi="Arial"/>
          <w:b/>
          <w:sz w:val="22"/>
        </w:rPr>
        <w:t>Athlete C</w:t>
      </w:r>
      <w:r>
        <w:rPr>
          <w:rFonts w:ascii="Arial" w:hAnsi="Arial"/>
          <w:sz w:val="22"/>
        </w:rPr>
        <w:t xml:space="preserve">  —  High school wrestling. Week 1 of return arc post-injury (HS-context parent exemplar).</w:t>
      </w:r>
    </w:p>
    <w:p>
      <w:pPr>
        <w:spacing w:before="120" w:after="40"/>
        <w:ind w:left="432"/>
      </w:pPr>
      <w:r>
        <w:rPr>
          <w:rFonts w:ascii="Arial" w:hAnsi="Arial"/>
          <w:b/>
          <w:i w:val="0"/>
          <w:sz w:val="24"/>
        </w:rPr>
        <w:t>CONTENTS</w:t>
      </w:r>
    </w:p>
    <w:p>
      <w:pPr>
        <w:spacing w:before="0" w:after="0"/>
        <w:ind w:left="720"/>
      </w:pPr>
      <w:r>
        <w:rPr>
          <w:rFonts w:ascii="Arial" w:hAnsi="Arial"/>
          <w:b/>
          <w:sz w:val="20"/>
        </w:rPr>
        <w:t xml:space="preserve">1.  </w:t>
      </w:r>
      <w:r>
        <w:rPr>
          <w:rFonts w:ascii="Arial" w:hAnsi="Arial"/>
          <w:sz w:val="20"/>
        </w:rPr>
        <w:t>Athlete A — 12-week progression visual</w:t>
      </w:r>
    </w:p>
    <w:p>
      <w:pPr>
        <w:spacing w:before="0" w:after="0"/>
        <w:ind w:left="720"/>
      </w:pPr>
      <w:r>
        <w:rPr>
          <w:rFonts w:ascii="Arial" w:hAnsi="Arial"/>
          <w:b/>
          <w:sz w:val="20"/>
        </w:rPr>
        <w:t xml:space="preserve">2.  </w:t>
      </w:r>
      <w:r>
        <w:rPr>
          <w:rFonts w:ascii="Arial" w:hAnsi="Arial"/>
          <w:sz w:val="20"/>
        </w:rPr>
        <w:t>Athlete A — Week 12 Coaching Message</w:t>
      </w:r>
    </w:p>
    <w:p>
      <w:pPr>
        <w:spacing w:before="0" w:after="0"/>
        <w:ind w:left="1440"/>
      </w:pPr>
      <w:r>
        <w:rPr>
          <w:rFonts w:ascii="Arial" w:hAnsi="Arial"/>
          <w:i/>
          <w:sz w:val="18"/>
        </w:rPr>
        <w:t>athlete-facing example</w:t>
      </w:r>
    </w:p>
    <w:p>
      <w:pPr>
        <w:spacing w:before="0" w:after="0"/>
        <w:ind w:left="720"/>
      </w:pPr>
      <w:r>
        <w:rPr>
          <w:rFonts w:ascii="Arial" w:hAnsi="Arial"/>
          <w:b/>
          <w:sz w:val="20"/>
        </w:rPr>
        <w:t xml:space="preserve">3.  </w:t>
      </w:r>
      <w:r>
        <w:rPr>
          <w:rFonts w:ascii="Arial" w:hAnsi="Arial"/>
          <w:sz w:val="20"/>
        </w:rPr>
        <w:t>Athlete A — Week 12 Coach Insight</w:t>
      </w:r>
    </w:p>
    <w:p>
      <w:pPr>
        <w:spacing w:before="0" w:after="0"/>
        <w:ind w:left="1440"/>
      </w:pPr>
      <w:r>
        <w:rPr>
          <w:rFonts w:ascii="Arial" w:hAnsi="Arial"/>
          <w:i/>
          <w:sz w:val="18"/>
        </w:rPr>
        <w:t>coach-facing example</w:t>
      </w:r>
    </w:p>
    <w:p>
      <w:pPr>
        <w:spacing w:before="0" w:after="0"/>
        <w:ind w:left="720"/>
      </w:pPr>
      <w:r>
        <w:rPr>
          <w:rFonts w:ascii="Arial" w:hAnsi="Arial"/>
          <w:b/>
          <w:sz w:val="20"/>
        </w:rPr>
        <w:t xml:space="preserve">4.  </w:t>
      </w:r>
      <w:r>
        <w:rPr>
          <w:rFonts w:ascii="Arial" w:hAnsi="Arial"/>
          <w:sz w:val="20"/>
        </w:rPr>
        <w:t>Athlete A — Week 12 Parent Coaching Message</w:t>
      </w:r>
    </w:p>
    <w:p>
      <w:pPr>
        <w:spacing w:before="0" w:after="0"/>
        <w:ind w:left="1440"/>
      </w:pPr>
      <w:r>
        <w:rPr>
          <w:rFonts w:ascii="Arial" w:hAnsi="Arial"/>
          <w:i/>
          <w:sz w:val="18"/>
        </w:rPr>
        <w:t>parent-facing example</w:t>
      </w:r>
    </w:p>
    <w:p>
      <w:pPr>
        <w:spacing w:before="0" w:after="0"/>
        <w:ind w:left="720"/>
      </w:pPr>
      <w:r>
        <w:rPr>
          <w:rFonts w:ascii="Arial" w:hAnsi="Arial"/>
          <w:b/>
          <w:sz w:val="20"/>
        </w:rPr>
        <w:t xml:space="preserve">5.  </w:t>
      </w:r>
      <w:r>
        <w:rPr>
          <w:rFonts w:ascii="Arial" w:hAnsi="Arial"/>
          <w:sz w:val="20"/>
        </w:rPr>
        <w:t>Athlete A — Week 12 Parent Insight</w:t>
      </w:r>
    </w:p>
    <w:p>
      <w:pPr>
        <w:spacing w:before="0" w:after="0"/>
        <w:ind w:left="1440"/>
      </w:pPr>
      <w:r>
        <w:rPr>
          <w:rFonts w:ascii="Arial" w:hAnsi="Arial"/>
          <w:i/>
          <w:sz w:val="18"/>
        </w:rPr>
        <w:t>parent dashboard sample</w:t>
      </w:r>
    </w:p>
    <w:p>
      <w:pPr>
        <w:spacing w:before="0" w:after="0"/>
        <w:ind w:left="720"/>
      </w:pPr>
      <w:r>
        <w:rPr>
          <w:rFonts w:ascii="Arial" w:hAnsi="Arial"/>
          <w:b/>
          <w:sz w:val="20"/>
        </w:rPr>
        <w:t xml:space="preserve">6.  </w:t>
      </w:r>
      <w:r>
        <w:rPr>
          <w:rFonts w:ascii="Arial" w:hAnsi="Arial"/>
          <w:sz w:val="20"/>
        </w:rPr>
        <w:t>Athlete B — 10-week progression visual</w:t>
      </w:r>
    </w:p>
    <w:p>
      <w:pPr>
        <w:spacing w:before="0" w:after="0"/>
        <w:ind w:left="720"/>
      </w:pPr>
      <w:r>
        <w:rPr>
          <w:rFonts w:ascii="Arial" w:hAnsi="Arial"/>
          <w:b/>
          <w:sz w:val="20"/>
        </w:rPr>
        <w:t xml:space="preserve">7.  </w:t>
      </w:r>
      <w:r>
        <w:rPr>
          <w:rFonts w:ascii="Arial" w:hAnsi="Arial"/>
          <w:sz w:val="20"/>
        </w:rPr>
        <w:t>Athlete B — Week 10 Coaching Message</w:t>
      </w:r>
    </w:p>
    <w:p>
      <w:pPr>
        <w:spacing w:before="0" w:after="0"/>
        <w:ind w:left="1440"/>
      </w:pPr>
      <w:r>
        <w:rPr>
          <w:rFonts w:ascii="Arial" w:hAnsi="Arial"/>
          <w:i/>
          <w:sz w:val="18"/>
        </w:rPr>
        <w:t>second athlete example</w:t>
      </w:r>
    </w:p>
    <w:p>
      <w:pPr>
        <w:spacing w:before="0" w:after="0"/>
        <w:ind w:left="720"/>
      </w:pPr>
      <w:r>
        <w:rPr>
          <w:rFonts w:ascii="Arial" w:hAnsi="Arial"/>
          <w:b/>
          <w:sz w:val="20"/>
        </w:rPr>
        <w:t xml:space="preserve">8.  </w:t>
      </w:r>
      <w:r>
        <w:rPr>
          <w:rFonts w:ascii="Arial" w:hAnsi="Arial"/>
          <w:sz w:val="20"/>
        </w:rPr>
        <w:t>Athlete C — Week 1 Parent Coaching Message</w:t>
      </w:r>
    </w:p>
    <w:p>
      <w:pPr>
        <w:spacing w:before="0" w:after="0"/>
        <w:ind w:left="1440"/>
      </w:pPr>
      <w:r>
        <w:rPr>
          <w:rFonts w:ascii="Arial" w:hAnsi="Arial"/>
          <w:i/>
          <w:sz w:val="18"/>
        </w:rPr>
        <w:t>HS-context exemplar</w:t>
      </w:r>
    </w:p>
    <w:p>
      <w:pPr>
        <w:spacing w:before="0" w:after="0"/>
        <w:ind w:left="720"/>
      </w:pPr>
      <w:r>
        <w:rPr>
          <w:rFonts w:ascii="Arial" w:hAnsi="Arial"/>
          <w:b/>
          <w:sz w:val="20"/>
        </w:rPr>
        <w:t xml:space="preserve">9.  </w:t>
      </w:r>
      <w:r>
        <w:rPr>
          <w:rFonts w:ascii="Arial" w:hAnsi="Arial"/>
          <w:sz w:val="20"/>
        </w:rPr>
        <w:t>Sample Team Snapshot</w:t>
      </w:r>
    </w:p>
    <w:p>
      <w:pPr>
        <w:spacing w:before="0" w:after="0"/>
        <w:ind w:left="1440"/>
      </w:pPr>
      <w:r>
        <w:rPr>
          <w:rFonts w:ascii="Arial" w:hAnsi="Arial"/>
          <w:i/>
          <w:sz w:val="18"/>
        </w:rPr>
        <w:t>institutional aggregate dashboard</w:t>
      </w:r>
    </w:p>
    <w:p>
      <w:pPr>
        <w:spacing w:before="0" w:after="0"/>
        <w:ind w:left="720"/>
      </w:pPr>
      <w:r>
        <w:rPr>
          <w:rFonts w:ascii="Arial" w:hAnsi="Arial"/>
          <w:b/>
          <w:sz w:val="20"/>
        </w:rPr>
        <w:t xml:space="preserve">10.  </w:t>
      </w:r>
      <w:r>
        <w:rPr>
          <w:rFonts w:ascii="Arial" w:hAnsi="Arial"/>
          <w:sz w:val="20"/>
        </w:rPr>
        <w:t>Selected App Mockup Printouts</w:t>
      </w:r>
    </w:p>
    <w:p>
      <w:pPr>
        <w:spacing w:before="0" w:after="0"/>
        <w:ind w:left="1440"/>
      </w:pPr>
      <w:r>
        <w:rPr>
          <w:rFonts w:ascii="Arial" w:hAnsi="Arial"/>
          <w:i/>
          <w:sz w:val="18"/>
        </w:rPr>
        <w:t>Home / Tune-Up / Weekly Recap / Inbox</w:t>
      </w:r>
    </w:p>
    <w:p>
      <w:pPr>
        <w:spacing w:before="80"/>
        <w:ind w:left="432"/>
      </w:pPr>
      <w:r>
        <w:rPr>
          <w:rFonts w:ascii="Arial" w:hAnsi="Arial"/>
          <w:b w:val="0"/>
          <w:i/>
          <w:sz w:val="18"/>
        </w:rPr>
        <w:t>All material confidential under NDA. Printed copies are collected at end of session; digital copies are available on request and delivered as personalized watermarked PDFs.</w:t>
      </w:r>
    </w:p>
    <w:sectPr w:rsidR="00FC693F" w:rsidRPr="0006063C" w:rsidSect="00034616">
      <w:footerReference w:type="default" r:id="rId9"/>
      <w:pgSz w:w="12240" w:h="15840"/>
      <w:pgMar w:top="864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  <w:r>
      <w:rPr>
        <w:rFonts w:ascii="Arial" w:hAnsi="Arial"/>
        <w:sz w:val="16"/>
      </w:rPr>
      <w:t xml:space="preserve"> of 1  |  GTM  |  CONFIDENTIAL — NDA APPLIES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