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Athlete: </w:t>
      </w:r>
      <w:r>
        <w:t>Angelo Allen Week: 2026-03-16 to 2026-03-22 Report Type: Weekly Performance Insight Classification: Informational Only</w:t>
      </w:r>
    </w:p>
    <w:p>
      <w:r>
        <w:t>"These indicators are informational only and may not be used as a basis for participation, selection, or disciplinary decisions."</w:t>
      </w:r>
    </w:p>
    <w:p>
      <w:pPr>
        <w:spacing w:before="0" w:after="120"/>
        <w:pBdr>
          <w:bottom w:val="single" w:sz="6" w:space="1" w:color="808080"/>
        </w:pBdr>
      </w:pPr>
    </w:p>
    <w:p>
      <w:pPr>
        <w:pStyle w:val="Heading2"/>
      </w:pPr>
      <w:r>
        <w:t>1) WEEKLY PERFORMANCE CLASSIFICATION</w:t>
      </w:r>
    </w:p>
    <w:p>
      <w:pPr>
        <w:spacing w:before="0" w:after="120"/>
        <w:pBdr>
          <w:bottom w:val="single" w:sz="6" w:space="1" w:color="808080"/>
        </w:pBdr>
      </w:pPr>
    </w:p>
    <w:p>
      <w:r>
        <w:rPr>
          <w:b/>
        </w:rPr>
        <w:t xml:space="preserve">Weekly Tier: </w:t>
      </w:r>
      <w:r>
        <w:t>Growth Trend Direction: → Stable</w:t>
      </w:r>
    </w:p>
    <w:p>
      <w:r>
        <w:t>This week reflects a continued Growth classification with stable directional momentum. Fifth consecutive Growth-tier week. First 7/7 Win week in the program. All prior weeks included one Neutral day. Competition results validated preparation structure with best outdoor season opener performance in the athlete's collegiate career.</w:t>
      </w:r>
    </w:p>
    <w:p>
      <w:pPr>
        <w:spacing w:before="0" w:after="120"/>
        <w:pBdr>
          <w:bottom w:val="single" w:sz="6" w:space="1" w:color="808080"/>
        </w:pBdr>
      </w:pPr>
    </w:p>
    <w:p>
      <w:pPr>
        <w:pStyle w:val="Heading2"/>
      </w:pPr>
      <w:r>
        <w:t>2) CONSISTENCY SIGNAL</w:t>
      </w:r>
    </w:p>
    <w:p>
      <w:pPr>
        <w:spacing w:before="0" w:after="120"/>
        <w:pBdr>
          <w:bottom w:val="single" w:sz="6" w:space="1" w:color="808080"/>
        </w:pBdr>
      </w:pPr>
    </w:p>
    <w:p>
      <w:r>
        <w:rPr>
          <w:b/>
        </w:rPr>
        <w:t xml:space="preserve">Status: </w:t>
      </w:r>
      <w:r>
        <w:t>Emerging Positive</w:t>
      </w:r>
    </w:p>
    <w:p>
      <w:r>
        <w:t>Behavioral execution patterns re-entered a positive trajectory after the prior gap disruption. Two consecutive Growth-tier weeks re-establish upward consistency momentum. Rolling win rate across the most recent four reporting periods stands at 89 percent. Zero Missed days across all 35 recorded program days. First Gold Streak recorded.</w:t>
      </w:r>
    </w:p>
    <w:p>
      <w:pPr>
        <w:spacing w:before="0" w:after="120"/>
        <w:pBdr>
          <w:bottom w:val="single" w:sz="6" w:space="1" w:color="808080"/>
        </w:pBdr>
      </w:pPr>
    </w:p>
    <w:p>
      <w:pPr>
        <w:pStyle w:val="Heading2"/>
      </w:pPr>
      <w:r>
        <w:t>3) FOCUS DISTRIBUTION (BULLSEYE TREND)</w:t>
      </w:r>
    </w:p>
    <w:p>
      <w:pPr>
        <w:spacing w:before="0" w:after="120"/>
        <w:pBdr>
          <w:bottom w:val="single" w:sz="6" w:space="1" w:color="808080"/>
        </w:pBdr>
      </w:pPr>
    </w:p>
    <w:p>
      <w:r>
        <w:rPr>
          <w:b/>
        </w:rPr>
        <w:t xml:space="preserve">Primary Focus Ring: </w:t>
      </w:r>
      <w:r>
        <w:t>Center-Dominant</w:t>
      </w:r>
    </w:p>
    <w:p>
      <w:r>
        <w:t>Controllable alignment remained centered. Depth continued at the compressed level for the second consecutive week, with single-item identification per ring. Content shifted from stability-focused framing to action-oriented framing. No noise fixation detected. Outer-ring identification was contextually appropriate for the outdoor season environment.</w:t>
      </w:r>
    </w:p>
    <w:p>
      <w:pPr>
        <w:spacing w:before="0" w:after="120"/>
        <w:pBdr>
          <w:bottom w:val="single" w:sz="6" w:space="1" w:color="808080"/>
        </w:pBdr>
      </w:pPr>
    </w:p>
    <w:p>
      <w:pPr>
        <w:pStyle w:val="Heading2"/>
      </w:pPr>
      <w:r>
        <w:t>4) RECOMMITMENT &amp; RESPONSE SIGNAL</w:t>
      </w:r>
    </w:p>
    <w:p>
      <w:pPr>
        <w:spacing w:before="0" w:after="120"/>
        <w:pBdr>
          <w:bottom w:val="single" w:sz="6" w:space="1" w:color="808080"/>
        </w:pBdr>
      </w:pPr>
    </w:p>
    <w:p>
      <w:r>
        <w:t>Recommitment Strength: Not Applicable</w:t>
      </w:r>
    </w:p>
    <w:p>
      <w:r>
        <w:rPr>
          <w:b/>
        </w:rPr>
        <w:t xml:space="preserve">Response Stability: </w:t>
      </w:r>
      <w:r>
        <w:t>Not Applicable</w:t>
      </w:r>
    </w:p>
    <w:p>
      <w:r>
        <w:t>No adverse execution events required recommitment during this reporting period. Zero Missed days across all five recorded weeks. Response stability indicators remain not applicable.</w:t>
      </w:r>
    </w:p>
    <w:p>
      <w:pPr>
        <w:spacing w:before="0" w:after="120"/>
        <w:pBdr>
          <w:bottom w:val="single" w:sz="6" w:space="1" w:color="808080"/>
        </w:pBdr>
      </w:pPr>
    </w:p>
    <w:p>
      <w:pPr>
        <w:pStyle w:val="Heading2"/>
      </w:pPr>
      <w:r>
        <w:t>5) CONFIDENCE MOMENTUM (DIRECTIONAL ONLY)</w:t>
      </w:r>
    </w:p>
    <w:p>
      <w:pPr>
        <w:spacing w:before="0" w:after="120"/>
        <w:pBdr>
          <w:bottom w:val="single" w:sz="6" w:space="1" w:color="808080"/>
        </w:pBdr>
      </w:pPr>
    </w:p>
    <w:p>
      <w:r>
        <w:rPr>
          <w:b/>
        </w:rPr>
        <w:t xml:space="preserve">Trend: </w:t>
      </w:r>
      <w:r>
        <w:t>↑ Building</w:t>
      </w:r>
    </w:p>
    <w:p>
      <w:r>
        <w:t>Confidence momentum indicators show a positive building trend. Competition outcomes validated preparation approach with best-career performance in the outdoor season opening event. Process-focused goal setting produced results across all three competition events. Self-directed practice initiative during a team schedule gap produced technical development in a new outdoor event. Achievement language returned to identity-level framing.</w:t>
      </w:r>
    </w:p>
    <w:p>
      <w:pPr>
        <w:spacing w:before="0" w:after="120"/>
        <w:pBdr>
          <w:bottom w:val="single" w:sz="6" w:space="1" w:color="808080"/>
        </w:pBdr>
      </w:pPr>
    </w:p>
    <w:p>
      <w:pPr>
        <w:pStyle w:val="Heading2"/>
      </w:pPr>
      <w:r>
        <w:t>6) STRESS LOAD INDICATOR (BAND-BASED)</w:t>
      </w:r>
    </w:p>
    <w:p>
      <w:pPr>
        <w:spacing w:before="0" w:after="120"/>
        <w:pBdr>
          <w:bottom w:val="single" w:sz="6" w:space="1" w:color="808080"/>
        </w:pBdr>
      </w:pPr>
    </w:p>
    <w:p>
      <w:r>
        <w:rPr>
          <w:b/>
        </w:rPr>
        <w:t xml:space="preserve">Band: </w:t>
      </w:r>
      <w:r>
        <w:t>Low</w:t>
      </w:r>
    </w:p>
    <w:p>
      <w:r>
        <w:t>Overall stress load indicators returned to the Low band for this reporting period, shifting down from the prior week's Moderate elevation. Positive competition outcomes, successful multi-domain management, and no acute stressors detected. Upcoming two-day competition format represents a potential stressor for the following reporting period.</w:t>
      </w:r>
    </w:p>
    <w:p>
      <w:pPr>
        <w:spacing w:before="0" w:after="120"/>
        <w:pBdr>
          <w:bottom w:val="single" w:sz="6" w:space="1" w:color="808080"/>
        </w:pBdr>
      </w:pPr>
    </w:p>
    <w:p>
      <w:pPr>
        <w:pStyle w:val="Heading2"/>
      </w:pPr>
      <w:r>
        <w:t>7) GROWTH PHASE STATUS</w:t>
      </w:r>
    </w:p>
    <w:p>
      <w:pPr>
        <w:spacing w:before="0" w:after="120"/>
        <w:pBdr>
          <w:bottom w:val="single" w:sz="6" w:space="1" w:color="808080"/>
        </w:pBdr>
      </w:pPr>
    </w:p>
    <w:p>
      <w:r>
        <w:rPr>
          <w:b/>
        </w:rPr>
        <w:t xml:space="preserve">Current Phase: </w:t>
      </w:r>
      <w:r>
        <w:t>Developing Movement: → Stable</w:t>
      </w:r>
    </w:p>
    <w:p>
      <w:r>
        <w:t>Developmental indicators remain within the Developing phase. Growth-tier execution sustained across all five recorded weeks. Consistency indicators are rebuilding toward positive thresholds after the prior gap disruption. Bullseye depth at compressed level for two consecutive weeks. Phase advancement criteria require sustained Stable Positive consistency. Currently at Emerging Positive.</w:t>
      </w:r>
    </w:p>
    <w:p>
      <w:pPr>
        <w:spacing w:before="0" w:after="120"/>
        <w:pBdr>
          <w:bottom w:val="single" w:sz="6" w:space="1" w:color="808080"/>
        </w:pBdr>
      </w:pPr>
    </w:p>
    <w:p>
      <w:pPr>
        <w:pStyle w:val="Heading2"/>
      </w:pPr>
      <w:r>
        <w:t>8) KEY PERFORMANCE SIGNAL (WEEKLY PRIORITY)</w:t>
      </w:r>
    </w:p>
    <w:p>
      <w:pPr>
        <w:spacing w:before="0" w:after="120"/>
        <w:pBdr>
          <w:bottom w:val="single" w:sz="6" w:space="1" w:color="808080"/>
        </w:pBdr>
      </w:pPr>
    </w:p>
    <w:p>
      <w:r>
        <w:t>Primary Development Signal This Week: Preparation System Validation</w:t>
      </w:r>
    </w:p>
    <w:p>
      <w:r>
        <w:t>Current development indicators center on the intentional rebuilding of preparation structure following a prior competitive disappointment. The athlete described preparation as deliberately planned and protected from external distractions, a direct reversal of conditions observed during the prior championship period. Competition outcomes validated this approach with best-career opening-meet performance and qualification marks achieved across all competition events. Self-directed practice initiative during a team schedule gap produced technical development in a new outdoor event.</w:t>
      </w:r>
    </w:p>
    <w:p>
      <w:pPr>
        <w:spacing w:before="0" w:after="120"/>
        <w:pBdr>
          <w:bottom w:val="single" w:sz="6" w:space="1" w:color="808080"/>
        </w:pBdr>
      </w:pPr>
    </w:p>
    <w:p>
      <w:pPr>
        <w:pStyle w:val="Heading2"/>
      </w:pPr>
      <w:r>
        <w:t>9) COACH CONTEXT CUE</w:t>
      </w:r>
    </w:p>
    <w:p>
      <w:pPr>
        <w:spacing w:before="0" w:after="120"/>
        <w:pBdr>
          <w:bottom w:val="single" w:sz="6" w:space="1" w:color="808080"/>
        </w:pBdr>
      </w:pPr>
    </w:p>
    <w:p>
      <w:r>
        <w:t>Recognize the preparation structure validation: competition outcomes directly followed intentional preparation planning that reversed the prior championship disruption pattern. Self-directed practice initiative during a canceled team session produced technical development in a new competition event. Process-focused competition goal-setting produced positive outcomes across all events. Monitor Bullseye depth, which has been compressed at single-item per ring for two consecutive weeks. Upcoming two-day competition format at CMU represents the next developmental test. Multi-day competition management was a contributing factor in the prior championship experience. Consistency indicators are rebuilding and require sustained Growth-tier execution to re-enter the positive band.</w:t>
      </w:r>
    </w:p>
    <w:p>
      <w:pPr>
        <w:spacing w:before="0" w:after="120"/>
        <w:pBdr>
          <w:bottom w:val="single" w:sz="6" w:space="1" w:color="808080"/>
        </w:pBdr>
      </w:pPr>
    </w:p>
    <w:p>
      <w:pPr>
        <w:pStyle w:val="Heading2"/>
      </w:pPr>
      <w:r>
        <w:t>10) COMPOSITE READINESS SIGNAL</w:t>
      </w:r>
    </w:p>
    <w:p>
      <w:pPr>
        <w:spacing w:before="0" w:after="120"/>
        <w:pBdr>
          <w:bottom w:val="single" w:sz="6" w:space="1" w:color="808080"/>
        </w:pBdr>
      </w:pPr>
    </w:p>
    <w:p>
      <w:r>
        <w:rPr>
          <w:b/>
        </w:rPr>
        <w:t xml:space="preserve">Readiness Level: </w:t>
      </w:r>
      <w:r>
        <w:t>↑ Positive (Green)</w:t>
      </w:r>
    </w:p>
    <w:p>
      <w:r>
        <w:t>Performance readiness indicators reflect sustained Growth-tier execution, validated preparation structure, positive competition outcomes, Low stress load, and improving consistency momentum. Self-directed development initiative and process-focused competition approach provide strong positive signals. Overall pattern supports positive readiness heading into the upcoming two-day competition format.</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