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Athlete: </w:t>
      </w:r>
      <w:r>
        <w:t>Grace Kindel Week: 2026-04-20 to 2026-04-26 Report Type: Weekly Performance Insight Classification: Informational Only</w:t>
      </w:r>
    </w:p>
    <w:p>
      <w:r>
        <w:t>"These indicators are informational only and may not be used as a basis for participation, selection, or disciplinary decisions."</w:t>
      </w:r>
    </w:p>
    <w:p>
      <w:pPr>
        <w:spacing w:before="0" w:after="120"/>
        <w:pBdr>
          <w:bottom w:val="single" w:sz="6" w:space="1" w:color="808080"/>
        </w:pBdr>
      </w:pPr>
    </w:p>
    <w:p>
      <w:pPr>
        <w:pStyle w:val="Heading2"/>
      </w:pPr>
      <w:r>
        <w:t>1) WEEKLY PERFORMANCE CLASSIFICATION</w:t>
      </w:r>
    </w:p>
    <w:p>
      <w:pPr>
        <w:spacing w:before="0" w:after="120"/>
        <w:pBdr>
          <w:bottom w:val="single" w:sz="6" w:space="1" w:color="808080"/>
        </w:pBdr>
      </w:pPr>
    </w:p>
    <w:p>
      <w:r>
        <w:rPr>
          <w:b/>
        </w:rPr>
        <w:t xml:space="preserve">Weekly Tier: </w:t>
      </w:r>
      <w:r>
        <w:t>Growth Trend Direction: → Stable</w:t>
      </w:r>
    </w:p>
    <w:p>
      <w:r>
        <w:t>This week reflects a continued Growth classification with stable directional momentum. Twelfth consecutive Growth-tier week. Daily execution recovered fully to seven Win days following the prior reporting period's first daily-standard deviations. Emotional intensity indicators remained within the Low band. Athlete voice articulation reached the most detailed level recorded in the program history this period, with both unprompted self-authored performance recognition and explicit articulation of competitive role context.</w:t>
      </w:r>
    </w:p>
    <w:p>
      <w:pPr>
        <w:spacing w:before="0" w:after="120"/>
        <w:pBdr>
          <w:bottom w:val="single" w:sz="6" w:space="1" w:color="808080"/>
        </w:pBdr>
      </w:pPr>
    </w:p>
    <w:p>
      <w:pPr>
        <w:pStyle w:val="Heading2"/>
      </w:pPr>
      <w:r>
        <w:t>2) CONSISTENCY SIGNAL</w:t>
      </w:r>
    </w:p>
    <w:p>
      <w:pPr>
        <w:spacing w:before="0" w:after="120"/>
        <w:pBdr>
          <w:bottom w:val="single" w:sz="6" w:space="1" w:color="808080"/>
        </w:pBdr>
      </w:pPr>
    </w:p>
    <w:p>
      <w:r>
        <w:rPr>
          <w:b/>
        </w:rPr>
        <w:t xml:space="preserve">Status: </w:t>
      </w:r>
      <w:r>
        <w:t>Stable</w:t>
      </w:r>
    </w:p>
    <w:p>
      <w:r>
        <w:t>Behavioral execution patterns returned to full daily-standard alignment after the prior period's two-day deviation. Twelve consecutive weeks of Growth-tier classification. Daily Win count returned to maximum (seven of seven). The prior period's compliance-pattern deviations on low-stakes weekend days did not extend into the current reporting period. The metacognitive goal stated at the close of the prior period (sustained engagement with the daily mindset prompts) was executed across all seven days, with each prompt paired to a specific working target named in the recap. Eighty-two Win days across eighty-four program days to date.</w:t>
      </w:r>
    </w:p>
    <w:p>
      <w:pPr>
        <w:spacing w:before="0" w:after="120"/>
        <w:pBdr>
          <w:bottom w:val="single" w:sz="6" w:space="1" w:color="808080"/>
        </w:pBdr>
      </w:pPr>
    </w:p>
    <w:p>
      <w:pPr>
        <w:pStyle w:val="Heading2"/>
      </w:pPr>
      <w:r>
        <w:t>3) FOCUS DISTRIBUTION (BULLSEYE TREND)</w:t>
      </w:r>
    </w:p>
    <w:p>
      <w:pPr>
        <w:spacing w:before="0" w:after="120"/>
        <w:pBdr>
          <w:bottom w:val="single" w:sz="6" w:space="1" w:color="808080"/>
        </w:pBdr>
      </w:pPr>
    </w:p>
    <w:p>
      <w:r>
        <w:rPr>
          <w:b/>
        </w:rPr>
        <w:t xml:space="preserve">Primary Focus Ring: </w:t>
      </w:r>
      <w:r>
        <w:t>Center-Dominant</w:t>
      </w:r>
    </w:p>
    <w:p>
      <w:r>
        <w:t>Controllable framing returned to broad action-oriented language ("the work that I decide each day to put in") this reporting period, shifting from the prior period's situation-specific framing ("how well I warm up and show what I can do even here"). Influence ring framing introduced explicit perception-by-others connection ("the effort and attitude I portray to how others might [perceive me]"), tracking with the Wednesday performance recognition context. Outer-ring placement expanded to include peer chatter alongside coach-decision sovereignty without charged language or fixation. Sixth consecutive period of composed outer-ring framing. No noise fixation detected.</w:t>
      </w:r>
    </w:p>
    <w:p>
      <w:pPr>
        <w:spacing w:before="0" w:after="120"/>
        <w:pBdr>
          <w:bottom w:val="single" w:sz="6" w:space="1" w:color="808080"/>
        </w:pBdr>
      </w:pPr>
    </w:p>
    <w:p>
      <w:pPr>
        <w:pStyle w:val="Heading2"/>
      </w:pPr>
      <w:r>
        <w:t>4) RECOMMITMENT &amp; RESPONSE SIGNAL</w:t>
      </w:r>
    </w:p>
    <w:p>
      <w:pPr>
        <w:spacing w:before="0" w:after="120"/>
        <w:pBdr>
          <w:bottom w:val="single" w:sz="6" w:space="1" w:color="808080"/>
        </w:pBdr>
      </w:pPr>
    </w:p>
    <w:p>
      <w:r>
        <w:t>Recommitment Strength: Not Applicable</w:t>
      </w:r>
    </w:p>
    <w:p>
      <w:r>
        <w:rPr>
          <w:b/>
        </w:rPr>
        <w:t xml:space="preserve">Response Stability: </w:t>
      </w:r>
      <w:r>
        <w:t>Not Applicable</w:t>
      </w:r>
    </w:p>
    <w:p>
      <w:r>
        <w:t>No adverse execution events required recommitment during this reporting period. Daily Win execution sustained across the full week without deviation. Response stability indicators remain not applicable for the sustained execution trajectory across the full program history.</w:t>
      </w:r>
    </w:p>
    <w:p>
      <w:pPr>
        <w:spacing w:before="0" w:after="120"/>
        <w:pBdr>
          <w:bottom w:val="single" w:sz="6" w:space="1" w:color="808080"/>
        </w:pBdr>
      </w:pPr>
    </w:p>
    <w:p>
      <w:pPr>
        <w:pStyle w:val="Heading2"/>
      </w:pPr>
      <w:r>
        <w:t>5) CONFIDENCE MOMENTUM (DIRECTIONAL ONLY)</w:t>
      </w:r>
    </w:p>
    <w:p>
      <w:pPr>
        <w:spacing w:before="0" w:after="120"/>
        <w:pBdr>
          <w:bottom w:val="single" w:sz="6" w:space="1" w:color="808080"/>
        </w:pBdr>
      </w:pPr>
    </w:p>
    <w:p>
      <w:r>
        <w:rPr>
          <w:b/>
        </w:rPr>
        <w:t xml:space="preserve">Trend: </w:t>
      </w:r>
      <w:r>
        <w:t>↑ Building</w:t>
      </w:r>
    </w:p>
    <w:p>
      <w:r>
        <w:t>Confidence momentum indicators show forward movement this reporting period through preparation-linked recognition. The athlete produced the first unprompted self-authored recognition of practice-level execution quality recorded in the program (Wednesday entry naming specific physical work quality without coach prompting). Subsequent gameday opportunities did not produce competitive participation, and the athlete maintained composed forward-facing framing across both event days. Confidence framing now includes both preparation-linked recognition and outcome-independent maintenance, indicating progression from the prior period's forward-facing readiness language ("if i get the chance I will perform") to current-period self-authored recognition without external validation requirement.</w:t>
      </w:r>
    </w:p>
    <w:p>
      <w:pPr>
        <w:spacing w:before="0" w:after="120"/>
        <w:pBdr>
          <w:bottom w:val="single" w:sz="6" w:space="1" w:color="808080"/>
        </w:pBdr>
      </w:pPr>
    </w:p>
    <w:p>
      <w:pPr>
        <w:pStyle w:val="Heading2"/>
      </w:pPr>
      <w:r>
        <w:t>6) STRESS LOAD INDICATOR (BAND-BASED)</w:t>
      </w:r>
    </w:p>
    <w:p>
      <w:pPr>
        <w:spacing w:before="0" w:after="120"/>
        <w:pBdr>
          <w:bottom w:val="single" w:sz="6" w:space="1" w:color="808080"/>
        </w:pBdr>
      </w:pPr>
    </w:p>
    <w:p>
      <w:r>
        <w:rPr>
          <w:b/>
        </w:rPr>
        <w:t xml:space="preserve">Band: </w:t>
      </w:r>
      <w:r>
        <w:t>Low</w:t>
      </w:r>
    </w:p>
    <w:p>
      <w:r>
        <w:t>Stress load indicators remained within the Low band. A brief frustration response was named within the Wednesday practice context and contained within the same recap entry ("Wednesday pissed me off because I did so good, and it still just like doesnt matter. but i cant say it doesnt matter because like it does, its just annoying but once again oh well"). The articulation captured all parts of the competitive context within a single composed reflection. End-of-week goal-setting indicator showed a request for external direction ("idk at this point give me something"), interpreted as fatigue-toned at the close of a long arc rather than distress-toned. A new minor physical thread (foot rehabilitation) was named on Sunday with one-day self-managed response.</w:t>
      </w:r>
    </w:p>
    <w:p>
      <w:pPr>
        <w:spacing w:before="0" w:after="120"/>
        <w:pBdr>
          <w:bottom w:val="single" w:sz="6" w:space="1" w:color="808080"/>
        </w:pBdr>
      </w:pPr>
    </w:p>
    <w:p>
      <w:pPr>
        <w:pStyle w:val="Heading2"/>
      </w:pPr>
      <w:r>
        <w:t>7) GROWTH PHASE STATUS</w:t>
      </w:r>
    </w:p>
    <w:p>
      <w:pPr>
        <w:spacing w:before="0" w:after="120"/>
        <w:pBdr>
          <w:bottom w:val="single" w:sz="6" w:space="1" w:color="808080"/>
        </w:pBdr>
      </w:pPr>
    </w:p>
    <w:p>
      <w:r>
        <w:rPr>
          <w:b/>
        </w:rPr>
        <w:t xml:space="preserve">Current Phase: </w:t>
      </w:r>
      <w:r>
        <w:t>Consistent Movement: → Stable</w:t>
      </w:r>
    </w:p>
    <w:p>
      <w:r>
        <w:t>Developmental indicators remain within the Consistent phase with stable maintenance. Primary execution indicators continue to meet Consistent-phase criteria (sustained Growth tier classification, stable positive consistency profile, behavioral composure, full daily-standard execution recovery). Reflection depth indicators held at the reduced level for a third consecutive reporting period, with single-day variation noted (Wednesday entry richest recap content recorded since Week 9). Phase advancement indicators not met (reflection depth benchmark not achieved). No regression threshold criteria met.</w:t>
      </w:r>
    </w:p>
    <w:p>
      <w:pPr>
        <w:spacing w:before="0" w:after="120"/>
        <w:pBdr>
          <w:bottom w:val="single" w:sz="6" w:space="1" w:color="808080"/>
        </w:pBdr>
      </w:pPr>
    </w:p>
    <w:p>
      <w:pPr>
        <w:pStyle w:val="Heading2"/>
      </w:pPr>
      <w:r>
        <w:t>8) KEY PERFORMANCE SIGNAL (WEEKLY PRIORITY)</w:t>
      </w:r>
    </w:p>
    <w:p>
      <w:pPr>
        <w:spacing w:before="0" w:after="120"/>
        <w:pBdr>
          <w:bottom w:val="single" w:sz="6" w:space="1" w:color="808080"/>
        </w:pBdr>
      </w:pPr>
    </w:p>
    <w:p>
      <w:r>
        <w:t>Primary Development Signal This Week: Articulated Paradox Composure</w:t>
      </w:r>
    </w:p>
    <w:p>
      <w:r>
        <w:t>Current development indicators center on the athlete's capacity to hold all parts of the competitive context in a single explicit articulation without emotional or behavioral derailment. The Wednesday recap entry contained the first unprompted self-authored recognition of practice-level execution quality recorded in the program ("fast asf today tbh, got all my mf bunts down"). The Competition section recap contained the most candid articulation of the playing-time pattern recorded in the reporting history, holding multiple components in a single composed sentence (recognition that the work landed, that the outcome did not change, that the situation does in fact carry weight, and that the athlete is choosing to sustain forward direction regardless). Daily execution fully recovered to seven Win days. Prior period's metacognitive goal executed across all seven days. The combination indicates a mature integration of preparation-linked confidence and outcome-independence as concurrent active indicators.</w:t>
      </w:r>
    </w:p>
    <w:p>
      <w:pPr>
        <w:spacing w:before="0" w:after="120"/>
        <w:pBdr>
          <w:bottom w:val="single" w:sz="6" w:space="1" w:color="808080"/>
        </w:pBdr>
      </w:pPr>
    </w:p>
    <w:p>
      <w:pPr>
        <w:pStyle w:val="Heading2"/>
      </w:pPr>
      <w:r>
        <w:t>9) COACH CONTEXT CUE</w:t>
      </w:r>
    </w:p>
    <w:p>
      <w:pPr>
        <w:spacing w:before="0" w:after="120"/>
        <w:pBdr>
          <w:bottom w:val="single" w:sz="6" w:space="1" w:color="808080"/>
        </w:pBdr>
      </w:pPr>
    </w:p>
    <w:p>
      <w:r>
        <w:t>Acknowledge the Wednesday self-authored performance recognition as a first-occurrence indicator in the program. Recognize the Competition section articulation as the most candid expression of the playing-time pattern recorded in the reporting history. Daily-standard execution recovered fully (seven Win days) following the prior period's two daily-standard deviations. Stress load returned to Low within the same entry the frustration was named. End-of- week goal-setting indicator showed a request for external direction (first occurrence in the reporting history), which the assigned micro-commitment addresses directly. A new minor physical indicator (foot rehabilitation) was introduced on Sunday with one-day self-managed response. Two competitive events scheduled for the upcoming reporting period (likely final regular-season events). The overall pattern shows mature integration of process-linked confidence and outcome-independent execution maintenance.</w:t>
      </w:r>
    </w:p>
    <w:p>
      <w:pPr>
        <w:spacing w:before="0" w:after="120"/>
        <w:pBdr>
          <w:bottom w:val="single" w:sz="6" w:space="1" w:color="808080"/>
        </w:pBdr>
      </w:pPr>
    </w:p>
    <w:p>
      <w:pPr>
        <w:pStyle w:val="Heading2"/>
      </w:pPr>
      <w:r>
        <w:t>10) COMPOSITE READINESS SIGNAL</w:t>
      </w:r>
    </w:p>
    <w:p>
      <w:pPr>
        <w:spacing w:before="0" w:after="120"/>
        <w:pBdr>
          <w:bottom w:val="single" w:sz="6" w:space="1" w:color="808080"/>
        </w:pBdr>
      </w:pPr>
    </w:p>
    <w:p>
      <w:r>
        <w:rPr>
          <w:b/>
        </w:rPr>
        <w:t xml:space="preserve">Readiness Level: </w:t>
      </w:r>
      <w:r>
        <w:t>↑ Positive (Green)</w:t>
      </w:r>
    </w:p>
    <w:p>
      <w:r>
        <w:t>Performance readiness indicators reflect full daily-standard execution recovery (seven Win days), composed articulation of competitive context, and forward-aligned process metrics. The combination of full execution recovery, the most articulate self-authored performance recognition recorded in the program, the most candid articulation of the competitive role context with sustained composure across subsequent days, sustained Low stress-load classification, and forward-aligned alignment status produces a Positive readiness classification. Two additional competitive events scheduled for the upcoming reporting period.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