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 WEEKLY PERFORMANCE INSIGHT</w:t>
      </w:r>
    </w:p>
    <w:p>
      <w:r>
        <w:rPr>
          <w:b/>
        </w:rPr>
        <w:t xml:space="preserve">Athlete: </w:t>
      </w:r>
      <w:r>
        <w:t>Hunter Snyder Week: 2026-04-20 to 2026-04-26 Report Type: Weekly Performance Insight Classification: Informational Only</w:t>
      </w:r>
    </w:p>
    <w:p>
      <w:r>
        <w:t>These indicators are informational only and may not be used as a basis for participation, selection, or disciplinary decisions.</w:t>
      </w:r>
    </w:p>
    <w:p>
      <w:pPr>
        <w:spacing w:before="0" w:after="120"/>
        <w:pBdr>
          <w:bottom w:val="single" w:sz="6" w:space="1" w:color="808080"/>
        </w:pBdr>
      </w:pPr>
    </w:p>
    <w:p>
      <w:pPr>
        <w:pStyle w:val="Heading2"/>
      </w:pPr>
      <w:r>
        <w:t>1. WEEKLY PERFORMANCE CLASSIFICATION</w:t>
      </w:r>
    </w:p>
    <w:p>
      <w:r>
        <w:rPr>
          <w:b/>
        </w:rPr>
        <w:t xml:space="preserve">Weekly Tier: </w:t>
      </w:r>
      <w:r>
        <w:t>Mixed Trend Direction: → Stable</w:t>
      </w:r>
    </w:p>
    <w:p>
      <w:r>
        <w:rPr>
          <w:b/>
        </w:rPr>
        <w:t xml:space="preserve">Executive Summary: </w:t>
      </w:r>
      <w:r>
        <w:t>This week reflects a Mixed classification and represents the first reporting period of the current arc following an extended absence for injury recovery. Daily routine execution remained consistent across all seven days with uniform middle-range scoring throughout. Habit execution stability indicators show maintained engagement with the recovery routine alongside a process-anchored weekly goal frame.</w:t>
      </w:r>
    </w:p>
    <w:p>
      <w:pPr>
        <w:spacing w:before="0" w:after="120"/>
        <w:pBdr>
          <w:bottom w:val="single" w:sz="6" w:space="1" w:color="808080"/>
        </w:pBdr>
      </w:pPr>
    </w:p>
    <w:p>
      <w:pPr>
        <w:pStyle w:val="Heading2"/>
      </w:pPr>
      <w:r>
        <w:t>2. CONSISTENCY SIGNAL</w:t>
      </w:r>
    </w:p>
    <w:p>
      <w:r>
        <w:rPr>
          <w:b/>
        </w:rPr>
        <w:t xml:space="preserve">Status: </w:t>
      </w:r>
      <w:r>
        <w:t>Variable</w:t>
      </w:r>
    </w:p>
    <w:p>
      <w:r>
        <w:t>Behavioral execution patterns showed variable alignment across the week, with all daily scoring registering in a uniform middle range during the active recovery period. Daily attendance to the recovery routine remained consistent across all seven days. Reflective engagement indicators registered at the entry-level baseline expected of a first reporting week.</w:t>
      </w:r>
    </w:p>
    <w:p>
      <w:pPr>
        <w:spacing w:before="0" w:after="120"/>
        <w:pBdr>
          <w:bottom w:val="single" w:sz="6" w:space="1" w:color="808080"/>
        </w:pBdr>
      </w:pPr>
    </w:p>
    <w:p>
      <w:pPr>
        <w:pStyle w:val="Heading2"/>
      </w:pPr>
      <w:r>
        <w:t>3. FOCUS DISTRIBUTION (BULLSEYE TREND)</w:t>
      </w:r>
    </w:p>
    <w:p>
      <w:r>
        <w:rPr>
          <w:b/>
        </w:rPr>
        <w:t xml:space="preserve">Primary Focus Ring: </w:t>
      </w:r>
      <w:r>
        <w:t>Center-Dominant</w:t>
      </w:r>
    </w:p>
    <w:p>
      <w:r>
        <w:t>Primary focus remained centered on controllables, with the center ring identifying recovery-routine engagement and reflective practice as the week's named development surfaces. Outer-ring acknowledgment was present without indication of fixation. Overall focus alignment is appropriate to the current development phase.</w:t>
      </w:r>
    </w:p>
    <w:p>
      <w:pPr>
        <w:spacing w:before="0" w:after="120"/>
        <w:pBdr>
          <w:bottom w:val="single" w:sz="6" w:space="1" w:color="808080"/>
        </w:pBdr>
      </w:pPr>
    </w:p>
    <w:p>
      <w:pPr>
        <w:pStyle w:val="Heading2"/>
      </w:pPr>
      <w:r>
        <w:t>4. RECOMMITMENT &amp; RESPONSE SIGNAL</w:t>
      </w:r>
    </w:p>
    <w:p>
      <w:r>
        <w:t>Recommitment Strength: Not Applicable</w:t>
      </w:r>
    </w:p>
    <w:p>
      <w:r>
        <w:rPr>
          <w:b/>
        </w:rPr>
        <w:t xml:space="preserve">Response Stability: </w:t>
      </w:r>
      <w:r>
        <w:t>insufficient data</w:t>
      </w:r>
    </w:p>
    <w:p>
      <w:r>
        <w:t>No adverse events requiring response patterns were recorded within the weekly data. Recovery and recommitment indicators cannot be assessed in the absence of fall-off days. Behavioral engagement was sustained across all days at the daily-routine level.</w:t>
      </w:r>
    </w:p>
    <w:p>
      <w:pPr>
        <w:spacing w:before="0" w:after="120"/>
        <w:pBdr>
          <w:bottom w:val="single" w:sz="6" w:space="1" w:color="808080"/>
        </w:pBdr>
      </w:pPr>
    </w:p>
    <w:p>
      <w:pPr>
        <w:pStyle w:val="Heading2"/>
      </w:pPr>
      <w:r>
        <w:t>5. CONFIDENCE MOMENTUM</w:t>
      </w:r>
    </w:p>
    <w:p>
      <w:r>
        <w:rPr>
          <w:b/>
        </w:rPr>
        <w:t xml:space="preserve">Trend: </w:t>
      </w:r>
      <w:r>
        <w:t>→ Stable</w:t>
      </w:r>
    </w:p>
    <w:p>
      <w:r>
        <w:t>Confidence momentum appears stable and tied to maintained recovery-routine execution. The athlete's stated weekly goal carried a process-anchored frame consistent with the baseline preparation orientation noted in the snapshot, providing a preparation-linked stability indicator independent of competitive context.</w:t>
      </w:r>
    </w:p>
    <w:p>
      <w:pPr>
        <w:spacing w:before="0" w:after="120"/>
        <w:pBdr>
          <w:bottom w:val="single" w:sz="6" w:space="1" w:color="808080"/>
        </w:pBdr>
      </w:pPr>
    </w:p>
    <w:p>
      <w:pPr>
        <w:pStyle w:val="Heading2"/>
      </w:pPr>
      <w:r>
        <w:t>6. STRESS LOAD INDICATOR</w:t>
      </w:r>
    </w:p>
    <w:p>
      <w:r>
        <w:rPr>
          <w:b/>
        </w:rPr>
        <w:t xml:space="preserve">Band: </w:t>
      </w:r>
      <w:r>
        <w:t>Low</w:t>
      </w:r>
    </w:p>
    <w:p>
      <w:r>
        <w:t>Overall stress load indicators remained within the Low range based on self-regulation signals and language patterns observed in available data. Daily entries showed task-oriented composure throughout.</w:t>
      </w:r>
    </w:p>
    <w:p>
      <w:pPr>
        <w:spacing w:before="0" w:after="120"/>
        <w:pBdr>
          <w:bottom w:val="single" w:sz="6" w:space="1" w:color="808080"/>
        </w:pBdr>
      </w:pPr>
    </w:p>
    <w:p>
      <w:pPr>
        <w:pStyle w:val="Heading2"/>
      </w:pPr>
      <w:r>
        <w:t>7. GROWTH PHASE STATUS</w:t>
      </w:r>
    </w:p>
    <w:p>
      <w:r>
        <w:rPr>
          <w:b/>
        </w:rPr>
        <w:t xml:space="preserve">Current Phase: </w:t>
      </w:r>
      <w:r>
        <w:t>Developing Movement: → Stable</w:t>
      </w:r>
    </w:p>
    <w:p>
      <w:r>
        <w:t>Athlete remains in the Developing phase, maintaining routine stability and pattern awareness through the active recovery period. This is the first reporting week of the current arc, and phase classification carries forward from baseline.</w:t>
      </w:r>
    </w:p>
    <w:p>
      <w:pPr>
        <w:spacing w:before="0" w:after="120"/>
        <w:pBdr>
          <w:bottom w:val="single" w:sz="6" w:space="1" w:color="808080"/>
        </w:pBdr>
      </w:pPr>
    </w:p>
    <w:p>
      <w:pPr>
        <w:pStyle w:val="Heading2"/>
      </w:pPr>
      <w:r>
        <w:t>8. KEY PERFORMANCE SIGNAL</w:t>
      </w:r>
    </w:p>
    <w:p>
      <w:r>
        <w:t>Primary Development Signal This Week: Recovery Routine Cadence Establishment</w:t>
      </w:r>
    </w:p>
    <w:p>
      <w:r>
        <w:t>Recovery routine engagement held across all seven days during the active rehabilitation period without skip days. The athlete's stated weekly goal demonstrated a process-anchored frame aligned with the baseline preparation-orientation pattern. Continued cadence stability and gradual deepening of the daily reflective surface are the primary development markers entering the next reporting window.</w:t>
      </w:r>
    </w:p>
    <w:p>
      <w:pPr>
        <w:spacing w:before="0" w:after="120"/>
        <w:pBdr>
          <w:bottom w:val="single" w:sz="6" w:space="1" w:color="808080"/>
        </w:pBdr>
      </w:pPr>
    </w:p>
    <w:p>
      <w:pPr>
        <w:pStyle w:val="Heading2"/>
      </w:pPr>
      <w:r>
        <w:t>9. COACH CONTEXT CUE</w:t>
      </w:r>
    </w:p>
    <w:p>
      <w:r>
        <w:t>Reinforce sustained recovery-routine engagement and process-anchored goal-setting. Maintain emphasis on the daily reflective surface as a development asset during the recovery phase. Monitor trend on reflective depth across the next two reporting windows as the cadence continues.</w:t>
      </w:r>
    </w:p>
    <w:p>
      <w:pPr>
        <w:spacing w:before="0" w:after="120"/>
        <w:pBdr>
          <w:bottom w:val="single" w:sz="6" w:space="1" w:color="808080"/>
        </w:pBdr>
      </w:pPr>
    </w:p>
    <w:p>
      <w:pPr>
        <w:pStyle w:val="Heading2"/>
      </w:pPr>
      <w:r>
        <w:t>10. COMPOSITE READINESS SIGNAL</w:t>
      </w:r>
    </w:p>
    <w:p>
      <w:r>
        <w:rPr>
          <w:b/>
        </w:rPr>
        <w:t xml:space="preserve">Readiness Level: </w:t>
      </w:r>
      <w:r>
        <w:t>→ Steady (Yellow)</w:t>
      </w:r>
    </w:p>
    <w:p>
      <w:r>
        <w:t>Performance readiness indicators reflect Steady status this period, supported by maintained routine execution, alignment between stated goals and observed behavior, and Low stress load indicators. The Mixed tier classification reflects the structural character of the current development phase rather than a behavioral engagement signal. Stable foundation in place entering the next reporting window.</w:t>
      </w:r>
    </w:p>
    <w:p>
      <w:pPr>
        <w:spacing w:before="0" w:after="120"/>
        <w:pBdr>
          <w:bottom w:val="single" w:sz="6" w:space="1" w:color="808080"/>
        </w:pBdr>
      </w:pPr>
    </w:p>
    <w:p>
      <w:r>
        <w:t>End of Report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