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Team: </w:t>
      </w:r>
      <w:r>
        <w:t>VirtusFocus Validation Program Week: Cross-Temporal Validation (Most Recent Week Per Athlete) Report Type: Weekly Team Snapshot Classification: Informational Only Athletes Included: 6</w:t>
      </w:r>
    </w:p>
    <w:p>
      <w:pPr>
        <w:spacing w:before="80" w:after="80"/>
        <w:ind w:left="576"/>
        <w:pBdr>
          <w:left w:val="single" w:sz="12" w:space="8" w:color="1F3A60"/>
        </w:pBdr>
      </w:pPr>
      <w:r>
        <w:rPr>
          <w:i w:val="0"/>
          <w:sz w:val="22"/>
        </w:rPr>
        <w:t>"These indicators are informational only and may not be used as a basis for participation, selection, or disciplinary decisions."</w:t>
      </w:r>
    </w:p>
    <w:p>
      <w:r>
        <w:rPr>
          <w:b/>
        </w:rPr>
        <w:t xml:space="preserve">NOTE: </w:t>
      </w:r>
      <w:r>
        <w:t>This is a validation snapshot using each athlete's most recent week of data. Athletes span different date ranges (May 2025 through March 2026) and represent different sports and institutions. This tests the T1-T7 aggregation format and logic, not temporal alignment. In production, all athletes on a team would share the same reporting week.</w:t>
      </w:r>
    </w:p>
    <w:p>
      <w:r>
        <w:t>━━━━━━━━━━━━━━━━━━━━━━━━━━━━━━━━━━━━━━━━━━━━━━━━━━━━━━━━━━</w:t>
      </w:r>
    </w:p>
    <w:p>
      <w:pPr>
        <w:pStyle w:val="Heading2"/>
      </w:pPr>
      <w:r>
        <w:t>T1) PERFORMANCE DISTRIBUTION</w:t>
      </w:r>
    </w:p>
    <w:p>
      <w:pPr>
        <w:spacing w:before="0" w:after="0" w:line="240" w:lineRule="auto"/>
        <w:ind w:left="288"/>
      </w:pPr>
      <w:r>
        <w:rPr>
          <w:rFonts w:ascii="Consolas" w:hAnsi="Consolas"/>
          <w:sz w:val="18"/>
        </w:rPr>
        <w:t xml:space="preserve">  Growth:  3/6  (50%)</w:t>
        <w:br/>
        <w:t xml:space="preserve">  Mixed:   3/6  (50%)</w:t>
        <w:br/>
        <w:t xml:space="preserve">  Reset:   0/6  (0%)</w:t>
      </w:r>
    </w:p>
    <w:p>
      <w:pPr>
        <w:spacing w:before="0" w:after="0" w:line="240" w:lineRule="auto"/>
        <w:ind w:left="288"/>
      </w:pPr>
      <w:r>
        <w:rPr>
          <w:rFonts w:ascii="Consolas" w:hAnsi="Consolas"/>
          <w:sz w:val="18"/>
        </w:rPr>
        <w:t xml:space="preserve">  Directional Momentum: → Stable</w:t>
      </w:r>
    </w:p>
    <w:p>
      <w:r>
        <w:t>The roster is evenly split between Growth-tier and Mixed-tier performance this period, with no athletes in Reset. All six athletes show stable directional momentum in their weekly tier trends, indicating a steady performance foundation across the program. The absence of Reset-tier athletes and the balanced Growth-Mixed distribution suggest a cohort maintaining behavioral engagement without significant regression.</w:t>
      </w:r>
    </w:p>
    <w:p>
      <w:r>
        <w:t>━━━━━━━━━━━━━━━━━━━━━━━━━━━━━━━━━━━━━━━━━━━━━━━━━━━━━━━━━━</w:t>
      </w:r>
    </w:p>
    <w:p>
      <w:pPr>
        <w:pStyle w:val="Heading2"/>
      </w:pPr>
      <w:r>
        <w:t>T2) TEAM CONSISTENCY SIGNAL</w:t>
      </w:r>
    </w:p>
    <w:p>
      <w:pPr>
        <w:spacing w:before="0" w:after="0" w:line="240" w:lineRule="auto"/>
        <w:ind w:left="288"/>
      </w:pPr>
      <w:r>
        <w:rPr>
          <w:rFonts w:ascii="Consolas" w:hAnsi="Consolas"/>
          <w:sz w:val="18"/>
        </w:rPr>
        <w:t xml:space="preserve">  Overall Status: Transitional Variability</w:t>
      </w:r>
    </w:p>
    <w:p>
      <w:pPr>
        <w:spacing w:before="0" w:after="0" w:line="240" w:lineRule="auto"/>
        <w:ind w:left="288"/>
      </w:pPr>
      <w:r>
        <w:rPr>
          <w:rFonts w:ascii="Consolas" w:hAnsi="Consolas"/>
          <w:sz w:val="18"/>
        </w:rPr>
        <w:t xml:space="preserve">  Stable:    2/6  (33%)</w:t>
        <w:br/>
        <w:t xml:space="preserve">  Variable:  4/6  (67%)</w:t>
      </w:r>
    </w:p>
    <w:p>
      <w:pPr>
        <w:spacing w:before="0" w:after="0" w:line="240" w:lineRule="auto"/>
        <w:ind w:left="288"/>
      </w:pPr>
      <w:r>
        <w:rPr>
          <w:rFonts w:ascii="Consolas" w:hAnsi="Consolas"/>
          <w:sz w:val="18"/>
        </w:rPr>
        <w:t xml:space="preserve">  Determination: Axis 1 (Distribution) = 67% Variable, 0%</w:t>
        <w:br/>
        <w:t xml:space="preserve">  Volatile. Axis 2 (Trend Direction) = all 6 athletes show</w:t>
        <w:br/>
        <w:t xml:space="preserve">  Stable weekly tier trends. → Transitional Variability</w:t>
        <w:br/>
        <w:t xml:space="preserve">  (&gt;40% Variable, zero Volatile, all trends Stable).</w:t>
      </w:r>
    </w:p>
    <w:p>
      <w:r>
        <w:t>Two-thirds of athletes show variable consistency patterns this period, while one-third demonstrate stable positive consistency. The variability is context-driven — athletes in variable patterns are navigating competitive transitions, structural changes, or post-competition processing. No athletes show volatile or deteriorating consistency signals.</w:t>
      </w:r>
    </w:p>
    <w:p>
      <w:r>
        <w:t>━━━━━━━━━━━━━━━━━━━━━━━━━━━━━━━━━━━━━━━━━━━━━━━━━━━━━━━━━━</w:t>
      </w:r>
    </w:p>
    <w:p>
      <w:pPr>
        <w:pStyle w:val="Heading2"/>
      </w:pPr>
      <w:r>
        <w:t>T3) TEAM FOCUS DISTRIBUTION</w:t>
      </w:r>
    </w:p>
    <w:p>
      <w:pPr>
        <w:spacing w:before="0" w:after="0" w:line="240" w:lineRule="auto"/>
        <w:ind w:left="288"/>
      </w:pPr>
      <w:r>
        <w:rPr>
          <w:rFonts w:ascii="Consolas" w:hAnsi="Consolas"/>
          <w:sz w:val="18"/>
        </w:rPr>
        <w:t xml:space="preserve">  Center-Dominant:     6/6  (100%)</w:t>
        <w:br/>
        <w:t xml:space="preserve">  Mixed Focus:         0/6  (0%)</w:t>
        <w:br/>
        <w:t xml:space="preserve">  Outer-Ring Drift:    0/6  (0%)</w:t>
      </w:r>
    </w:p>
    <w:p>
      <w:r>
        <w:t>All six athletes demonstrate center-dominant controllable alignment, directing attention toward preparation, effort, and response patterns rather than external factors. This indicates strong collective focus on elements within individual control across the entire roster.</w:t>
      </w:r>
    </w:p>
    <w:p>
      <w:r>
        <w:t>━━━━━━━━━━━━━━━━━━━━━━━━━━━━━━━━━━━━━━━━━━━━━━━━━━━━━━━━━━</w:t>
      </w:r>
    </w:p>
    <w:p>
      <w:pPr>
        <w:pStyle w:val="Heading2"/>
      </w:pPr>
      <w:r>
        <w:t>T4) TEAM RECOMMITMENT TREND</w:t>
      </w:r>
    </w:p>
    <w:p>
      <w:pPr>
        <w:spacing w:before="0" w:after="0" w:line="240" w:lineRule="auto"/>
        <w:ind w:left="288"/>
      </w:pPr>
      <w:r>
        <w:rPr>
          <w:rFonts w:ascii="Consolas" w:hAnsi="Consolas"/>
          <w:sz w:val="18"/>
        </w:rPr>
        <w:t xml:space="preserve">  Strong:                   0/6  (0%)</w:t>
        <w:br/>
        <w:t xml:space="preserve">  Moderate:                 0/6  (0%)</w:t>
        <w:br/>
        <w:t xml:space="preserve">  Low:                      0/6  (0%)</w:t>
        <w:br/>
        <w:t xml:space="preserve">  Not Applicable:           6/6  (100%)</w:t>
      </w:r>
    </w:p>
    <w:p>
      <w:r>
        <w:t>The majority of athletes did not experience adverse execution events requiring recovery this period. A 100% Not Applicable rate indicates that the roster maintained sufficient daily engagement to avoid triggering recommitment assessment. This reflects stable behavioral patterns rather than a data gap.</w:t>
      </w:r>
    </w:p>
    <w:p>
      <w:r>
        <w:t>━━━━━━━━━━━━━━━━━━━━━━━━━━━━━━━━━━━━━━━━━━━━━━━━━━━━━━━━━━</w:t>
      </w:r>
    </w:p>
    <w:p>
      <w:pPr>
        <w:pStyle w:val="Heading2"/>
      </w:pPr>
      <w:r>
        <w:t>T5) TEAM CONFIDENCE DIRECTION</w:t>
      </w:r>
    </w:p>
    <w:p>
      <w:pPr>
        <w:spacing w:before="0" w:after="0" w:line="240" w:lineRule="auto"/>
        <w:ind w:left="288"/>
      </w:pPr>
      <w:r>
        <w:rPr>
          <w:rFonts w:ascii="Consolas" w:hAnsi="Consolas"/>
          <w:sz w:val="18"/>
        </w:rPr>
        <w:t xml:space="preserve">  Building:     1/6  (17%)</w:t>
        <w:br/>
        <w:t xml:space="preserve">  Stable:       4/6  (67%)</w:t>
        <w:br/>
        <w:t xml:space="preserve">  Rebuilding:   1/6  (17%)</w:t>
      </w:r>
    </w:p>
    <w:p>
      <w:pPr>
        <w:spacing w:before="0" w:after="0" w:line="240" w:lineRule="auto"/>
        <w:ind w:left="288"/>
      </w:pPr>
      <w:r>
        <w:rPr>
          <w:rFonts w:ascii="Consolas" w:hAnsi="Consolas"/>
          <w:sz w:val="18"/>
        </w:rPr>
        <w:t xml:space="preserve">  Overall Trend: → Stable</w:t>
      </w:r>
    </w:p>
    <w:p>
      <w:r>
        <w:t>The majority of athletes show stable confidence trajectories linked to consistent preparation patterns. One athlete demonstrates building confidence through successful preparation-to-performance transfer, while one is in a rebuilding phase following a competitive transition period. No athletes show declining or variable confidence signals.</w:t>
      </w:r>
    </w:p>
    <w:p>
      <w:r>
        <w:t>━━━━━━━━━━━━━━━━━━━━━━━━━━━━━━━━━━━━━━━━━━━━━━━━━━━━━━━━━━</w:t>
      </w:r>
    </w:p>
    <w:p>
      <w:pPr>
        <w:pStyle w:val="Heading2"/>
      </w:pPr>
      <w:r>
        <w:t>T6) TEAM STRESS LOAD DISTRIBUTION</w:t>
      </w:r>
    </w:p>
    <w:p>
      <w:pPr>
        <w:spacing w:before="0" w:after="0" w:line="240" w:lineRule="auto"/>
        <w:ind w:left="288"/>
      </w:pPr>
      <w:r>
        <w:rPr>
          <w:rFonts w:ascii="Consolas" w:hAnsi="Consolas"/>
          <w:sz w:val="18"/>
        </w:rPr>
        <w:t xml:space="preserve">  Low:       3/6  (50%)</w:t>
        <w:br/>
        <w:t xml:space="preserve">  Moderate:  3/6  (50%)</w:t>
        <w:br/>
        <w:t xml:space="preserve">  Elevated:  0/6  (0%)</w:t>
      </w:r>
    </w:p>
    <w:p>
      <w:r>
        <w:t>The roster is evenly split between low and moderate stress loads, with no athletes at elevated levels. The moderate stress indicators reflect competitive schedules and developmental transitions rather than acute distress. The absence of elevated stress across the program suggests a manageable collective load.</w:t>
      </w:r>
    </w:p>
    <w:p>
      <w:r>
        <w:t>━━━━━━━━━━━━━━━━━━━━━━━━━━━━━━━━━━━━━━━━━━━━━━━━━━━━━━━━━━</w:t>
      </w:r>
    </w:p>
    <w:p>
      <w:pPr>
        <w:pStyle w:val="Heading2"/>
      </w:pPr>
      <w:r>
        <w:t>T7) TEAM DEVELOPMENTAL DISTRIBUTION</w:t>
      </w:r>
    </w:p>
    <w:p>
      <w:pPr>
        <w:spacing w:before="0" w:after="0" w:line="240" w:lineRule="auto"/>
        <w:ind w:left="288"/>
      </w:pPr>
      <w:r>
        <w:rPr>
          <w:rFonts w:ascii="Consolas" w:hAnsi="Consolas"/>
          <w:sz w:val="18"/>
        </w:rPr>
        <w:t xml:space="preserve">  Emerging:    0/6  (0%)</w:t>
        <w:br/>
        <w:t xml:space="preserve">  Developing:  5/6  (83%)</w:t>
        <w:br/>
        <w:t xml:space="preserve">  Consistent:  1/6  (17%)</w:t>
        <w:br/>
        <w:t xml:space="preserve">  Leadership:  0/6  (0%)</w:t>
      </w:r>
    </w:p>
    <w:p>
      <w:pPr>
        <w:spacing w:before="0" w:after="0" w:line="240" w:lineRule="auto"/>
        <w:ind w:left="288"/>
      </w:pPr>
      <w:r>
        <w:rPr>
          <w:rFonts w:ascii="Consolas" w:hAnsi="Consolas"/>
          <w:sz w:val="18"/>
        </w:rPr>
        <w:t xml:space="preserve">  Team Composite Readiness Distribution:</w:t>
        <w:br/>
        <w:t xml:space="preserve">  ↑ Positive (Green):    0/6  (0%)</w:t>
        <w:br/>
        <w:t xml:space="preserve">  → Steady (Yellow):     6/6  (100%)</w:t>
        <w:br/>
        <w:t xml:space="preserve">  ↓ Attention (Orange):  0/6  (0%)</w:t>
      </w:r>
    </w:p>
    <w:p>
      <w:r>
        <w:t>The program is predominantly in the Developing phase, with one athlete having advanced to the Consistent phase. This distribution is expected for a cohort in an active growth cycle. All six athletes show Steady readiness indicators, reflecting a stable foundation without athletes requiring immediate attention. The uniform readiness signal indicates the cohort is collectively maintaining engagement and behavioral patterns at a sustainable level, with no athletes flagged for coaching intervention.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