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40"/>
        </w:rPr>
        <w:t>VIRTUSFOCUS FOCUS GROUP</w:t>
      </w:r>
    </w:p>
    <w:p>
      <w:pPr>
        <w:jc w:val="center"/>
      </w:pPr>
      <w:r>
        <w:rPr>
          <w:rFonts w:ascii="Arial" w:hAnsi="Arial"/>
          <w:b w:val="0"/>
          <w:color w:val="555555"/>
          <w:sz w:val="28"/>
        </w:rPr>
        <w:t>May 9,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2E5E2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D2C / ATHLETE ARTIFACT PACKET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888888"/>
          <w:sz w:val="24"/>
        </w:rPr>
        <w:t>CONFIDENTIAL UNDER NDA</w:t>
      </w:r>
    </w:p>
    <w:p>
      <w:pPr>
        <w:pBdr>
          <w:bottom w:val="single" w:sz="6" w:space="1" w:color="888888"/>
        </w:pBdr>
      </w:pPr>
    </w:p>
    <w:p>
      <w:pPr>
        <w:spacing w:before="120" w:after="40"/>
        <w:ind w:left="432"/>
      </w:pPr>
      <w:r>
        <w:rPr>
          <w:rFonts w:ascii="Arial" w:hAnsi="Arial"/>
          <w:b/>
          <w:i w:val="0"/>
          <w:sz w:val="24"/>
        </w:rPr>
        <w:t>WHAT'S IN THIS PACKET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sz w:val="22"/>
        </w:rPr>
        <w:t>Real athlete-facing coaching output from three anonymized athletes. These are the messages, deep dives, and parent-facing notes the program actually delivers — not mockups, not summaries.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sz w:val="22"/>
        </w:rPr>
        <w:t>Reference these during Question 4 of your breakout.</w:t>
      </w:r>
    </w:p>
    <w:p>
      <w:pPr>
        <w:spacing w:before="120" w:after="40"/>
        <w:ind w:left="432"/>
      </w:pPr>
      <w:r>
        <w:rPr>
          <w:rFonts w:ascii="Arial" w:hAnsi="Arial"/>
          <w:b/>
          <w:i w:val="0"/>
          <w:sz w:val="24"/>
        </w:rPr>
        <w:t>ATHLETES FEATURED</w:t>
      </w:r>
    </w:p>
    <w:p>
      <w:pPr>
        <w:spacing w:before="0" w:after="0"/>
        <w:ind w:left="432"/>
      </w:pPr>
      <w:r>
        <w:rPr>
          <w:rFonts w:ascii="Arial" w:hAnsi="Arial"/>
          <w:b/>
          <w:sz w:val="22"/>
        </w:rPr>
        <w:t>Athlete A</w:t>
      </w:r>
      <w:r>
        <w:rPr>
          <w:rFonts w:ascii="Arial" w:hAnsi="Arial"/>
          <w:sz w:val="22"/>
        </w:rPr>
        <w:t xml:space="preserve">  —  D2 women's softball, infielder. 12-week coaching arc.</w:t>
      </w:r>
    </w:p>
    <w:p>
      <w:pPr>
        <w:spacing w:before="0" w:after="0"/>
        <w:ind w:left="432"/>
      </w:pPr>
      <w:r>
        <w:rPr>
          <w:rFonts w:ascii="Arial" w:hAnsi="Arial"/>
          <w:b/>
          <w:sz w:val="22"/>
        </w:rPr>
        <w:t>Athlete B</w:t>
      </w:r>
      <w:r>
        <w:rPr>
          <w:rFonts w:ascii="Arial" w:hAnsi="Arial"/>
          <w:sz w:val="22"/>
        </w:rPr>
        <w:t xml:space="preserve">  —  D2 men's track and field, throws. 10-week coaching arc, retiring after PSAC championship.</w:t>
      </w:r>
    </w:p>
    <w:p>
      <w:pPr>
        <w:spacing w:before="0" w:after="0"/>
        <w:ind w:left="432"/>
      </w:pPr>
      <w:r>
        <w:rPr>
          <w:rFonts w:ascii="Arial" w:hAnsi="Arial"/>
          <w:b/>
          <w:sz w:val="22"/>
        </w:rPr>
        <w:t>Athlete C</w:t>
      </w:r>
      <w:r>
        <w:rPr>
          <w:rFonts w:ascii="Arial" w:hAnsi="Arial"/>
          <w:sz w:val="22"/>
        </w:rPr>
        <w:t xml:space="preserve">  —  High school wrestling. Week 1 of return arc following season-ending knee injury.</w:t>
      </w:r>
    </w:p>
    <w:p>
      <w:pPr>
        <w:spacing w:before="120" w:after="40"/>
        <w:ind w:left="432"/>
      </w:pPr>
      <w:r>
        <w:rPr>
          <w:rFonts w:ascii="Arial" w:hAnsi="Arial"/>
          <w:b/>
          <w:i w:val="0"/>
          <w:sz w:val="24"/>
        </w:rPr>
        <w:t>CONTENTS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Athlete A — 12-week progression visual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Athlete A — Week 7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first competitive failure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Athlete A — Week 12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peak moment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Athlete A — Week 12 Deep Dive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full analytical depth example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Athlete A — Week 12 Parent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parent-facing perspective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Athlete B — 10-week progression visual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Athlete B — Week 10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final week + phase advancement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Athlete C — Week 1 Parent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HS-context parent exemplar</w:t>
      </w:r>
    </w:p>
    <w:p>
      <w:pPr>
        <w:pBdr>
          <w:bottom w:val="single" w:sz="6" w:space="1" w:color="888888"/>
        </w:pBdr>
      </w:pPr>
    </w:p>
    <w:p>
      <w:pPr>
        <w:spacing w:before="80"/>
        <w:ind w:left="432"/>
      </w:pPr>
      <w:r>
        <w:rPr>
          <w:rFonts w:ascii="Arial" w:hAnsi="Arial"/>
          <w:b w:val="0"/>
          <w:i/>
          <w:sz w:val="18"/>
        </w:rPr>
        <w:t>All material confidential under NDA. Printed copies are collected at end of session; digital copies are available on request and delivered as personalized watermarked PDFs.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  <w:r>
      <w:rPr>
        <w:rFonts w:ascii="Arial" w:hAnsi="Arial"/>
        <w:sz w:val="16"/>
      </w:rPr>
      <w:t xml:space="preserve"> of 1  |  D2C / ATHLETE  |  CONFIDENTIAL — NDA APPLIES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