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72"/>
        </w:rPr>
        <w:t>VirtusFocus</w:t>
      </w:r>
    </w:p>
    <w:p>
      <w:pPr>
        <w:jc w:val="center"/>
      </w:pPr>
      <w:r>
        <w:rPr>
          <w:rFonts w:ascii="Calibri" w:hAnsi="Calibri"/>
          <w:color w:val="2E75B6"/>
          <w:sz w:val="56"/>
        </w:rPr>
        <w:t>Coach Insights Dashboard</w:t>
      </w:r>
    </w:p>
    <w:p/>
    <w:p>
      <w:pPr>
        <w:jc w:val="center"/>
      </w:pPr>
      <w:r>
        <w:rPr>
          <w:rFonts w:ascii="Calibri" w:hAnsi="Calibri"/>
          <w:i/>
          <w:color w:val="666666"/>
          <w:sz w:val="28"/>
        </w:rPr>
        <w:t>A Coaching Staff Guide to Your</w:t>
        <w:br/>
        <w:t>Weekly Performance Intelligence</w:t>
      </w:r>
    </w:p>
    <w:p/>
    <w:p/>
    <w:p/>
    <w:p/>
    <w:p/>
    <w:p/>
    <w:p/>
    <w:p/>
    <w:p>
      <w:pPr>
        <w:jc w:val="center"/>
      </w:pPr>
      <w:r>
        <w:rPr>
          <w:rFonts w:ascii="Calibri" w:hAnsi="Calibri"/>
          <w:b/>
          <w:color w:val="1B3A5C"/>
          <w:sz w:val="22"/>
        </w:rPr>
        <w:t>VirtusFocus Mental Performance Coaching</w:t>
      </w:r>
    </w:p>
    <w:p>
      <w:pPr>
        <w:jc w:val="center"/>
      </w:pPr>
      <w:r>
        <w:rPr>
          <w:rFonts w:ascii="Calibri" w:hAnsi="Calibri"/>
          <w:i/>
          <w:color w:val="999999"/>
          <w:sz w:val="20"/>
        </w:rPr>
        <w:t>Confidential — For Coaching Staff Use Only</w:t>
      </w:r>
    </w:p>
    <w:p>
      <w:r>
        <w:br w:type="page"/>
      </w:r>
    </w:p>
    <w:p>
      <w:pPr>
        <w:pStyle w:val="Heading1"/>
      </w:pPr>
      <w:r>
        <w:t>What Is the Coach Insights Dashboard?</w:t>
      </w:r>
    </w:p>
    <w:p>
      <w:r>
        <w:t>The VirtusFocus Coach Insights Dashboard provides your coaching staff with weekly performance intelligence for every athlete in the program. It translates the behavioral data your athletes generate through their daily VirtusFocus activities into structured, compliance-safe insights that help you coach with greater precision.</w:t>
      </w:r>
    </w:p>
    <w:p>
      <w:pPr>
        <w:pStyle w:val="Heading3"/>
      </w:pPr>
      <w:r>
        <w:t>What the dashboard does:</w:t>
      </w:r>
    </w:p>
    <w:p>
      <w:pPr>
        <w:pStyle w:val="ListBullet"/>
        <w:spacing w:after="60"/>
      </w:pPr>
      <w:r>
        <w:t>Delivers a Weekly Performance Insight for each individual athlete</w:t>
      </w:r>
    </w:p>
    <w:p>
      <w:pPr>
        <w:pStyle w:val="ListBullet"/>
        <w:spacing w:after="60"/>
      </w:pPr>
      <w:r>
        <w:t>Delivers a Weekly Team Snapshot aggregating your roster or position group</w:t>
      </w:r>
    </w:p>
    <w:p>
      <w:pPr>
        <w:pStyle w:val="ListBullet"/>
        <w:spacing w:after="60"/>
      </w:pPr>
      <w:r>
        <w:t>Tracks longitudinal trends across the season through visual dashboards</w:t>
      </w:r>
    </w:p>
    <w:p>
      <w:pPr>
        <w:pStyle w:val="ListBullet"/>
        <w:spacing w:after="60"/>
      </w:pPr>
      <w:r>
        <w:t>Surfaces one actionable coaching priority per athlete each week</w:t>
      </w:r>
    </w:p>
    <w:p>
      <w:pPr>
        <w:pStyle w:val="ListBullet"/>
        <w:spacing w:after="60"/>
      </w:pPr>
      <w:r>
        <w:t>Provides a single at-a-glance readiness signal (Green / Yellow / Orange) per athlete</w:t>
      </w:r>
    </w:p>
    <w:p>
      <w:pPr>
        <w:pStyle w:val="Heading3"/>
      </w:pPr>
      <w:r>
        <w:t>What the dashboard does NOT do:</w:t>
      </w:r>
    </w:p>
    <w:p>
      <w:pPr>
        <w:pStyle w:val="ListBullet"/>
        <w:spacing w:after="60"/>
      </w:pPr>
      <w:r>
        <w:t>It does not display journal entries, personal disclosures, or raw self-report data</w:t>
      </w:r>
    </w:p>
    <w:p>
      <w:pPr>
        <w:pStyle w:val="ListBullet"/>
        <w:spacing w:after="60"/>
      </w:pPr>
      <w:r>
        <w:t>It does not track login frequency, time spent in the app, or completion counts</w:t>
      </w:r>
    </w:p>
    <w:p>
      <w:pPr>
        <w:pStyle w:val="ListBullet"/>
        <w:spacing w:after="60"/>
      </w:pPr>
      <w:r>
        <w:t>It does not rank athletes against each other</w:t>
      </w:r>
    </w:p>
    <w:p>
      <w:pPr>
        <w:pStyle w:val="ListBullet"/>
        <w:spacing w:after="60"/>
      </w:pPr>
      <w:r>
        <w:t>It does not provide clinical assessments or mental health diagnoses</w:t>
      </w:r>
    </w:p>
    <w:p>
      <w:pPr>
        <w:pStyle w:val="ListBullet"/>
        <w:spacing w:after="60"/>
      </w:pPr>
      <w:r>
        <w:t>It does not generate coaching directives — it informs your coaching decisions</w:t>
      </w:r>
    </w:p>
    <w:p>
      <w:r>
        <w:t>The dashboard is designed to be safe for every level of your coaching staff. Whether you are a position coach, a coordinator, or the head coach, the information you see is the same — structured, neutral, and free from any content that could create liability or compliance concerns.</w:t>
      </w:r>
    </w:p>
    <w:p>
      <w:pPr>
        <w:spacing w:before="120" w:after="120"/>
        <w:pBdr>
          <w:bottom w:val="single" w:sz="4" w:space="1" w:color="CCCCCC"/>
        </w:pBdr>
      </w:pPr>
    </w:p>
    <w:p>
      <w:pPr>
        <w:pStyle w:val="Heading1"/>
      </w:pPr>
      <w:r>
        <w:t>The Weekly Performance Insight</w:t>
      </w:r>
    </w:p>
    <w:p>
      <w:r>
        <w:t>Every week, each athlete in the program receives a 10-section performance insight report. These sections are consistent across every athlete and every week, so your staff develops rapid pattern recognition over time.</w:t>
      </w:r>
    </w:p>
    <w:p>
      <w:pPr>
        <w:pStyle w:val="Heading2"/>
      </w:pPr>
      <w:r>
        <w:t>Report Header and Disclaimer</w:t>
      </w:r>
    </w:p>
    <w:p>
      <w:r>
        <w:t>Every report begins with the athlete’s name, the reporting week, and the following mandatory disclaimer:</w:t>
      </w:r>
    </w:p>
    <w:p>
      <w:pPr>
        <w:spacing w:before="120" w:after="120"/>
        <w:jc w:val="center"/>
      </w:pPr>
      <w:r>
        <w:rPr>
          <w:i/>
          <w:color w:val="666666"/>
          <w:sz w:val="20"/>
        </w:rPr>
        <w:t>“These indicators are informational only and may not be used as a basis for participation, selection, or disciplinary decisions.”</w:t>
      </w:r>
    </w:p>
    <w:p>
      <w:r>
        <w:t>This disclaimer is non-negotiable and exists to protect both the athlete and the coaching staff. VirtusFocus insights inform your coaching — they never replace your judgment.</w:t>
      </w:r>
    </w:p>
    <w:p>
      <w:pPr>
        <w:pStyle w:val="Heading2"/>
      </w:pPr>
      <w:r>
        <w:t>The 10 Sections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val="clear"/>
          </w:tcPr>
          <w:p>
            <w:pPr>
              <w:spacing w:before="80" w:after="80"/>
            </w:pPr>
            <w:r/>
            <w:r>
              <w:rPr>
                <w:rFonts w:ascii="Calibri" w:hAnsi="Calibri"/>
                <w:b/>
                <w:color w:val="FFFFFF"/>
                <w:sz w:val="20"/>
              </w:rPr>
              <w:t>Section</w:t>
            </w:r>
          </w:p>
        </w:tc>
        <w:tc>
          <w:tcPr>
            <w:tcW w:type="dxa" w:w="5184"/>
            <w:shd w:fill="1B3A5C" w:val="clear"/>
          </w:tcPr>
          <w:p>
            <w:pPr>
              <w:spacing w:before="80" w:after="80"/>
            </w:pPr>
            <w:r/>
            <w:r>
              <w:rPr>
                <w:rFonts w:ascii="Calibri" w:hAnsi="Calibri"/>
                <w:b/>
                <w:color w:val="FFFFFF"/>
                <w:sz w:val="20"/>
              </w:rPr>
              <w:t>What It Tells You</w:t>
            </w:r>
          </w:p>
        </w:tc>
        <w:tc>
          <w:tcPr>
            <w:tcW w:type="dxa" w:w="3024"/>
            <w:shd w:fill="1B3A5C" w:val="clear"/>
          </w:tcPr>
          <w:p>
            <w:pPr>
              <w:spacing w:before="80" w:after="80"/>
            </w:pPr>
            <w:r/>
            <w:r>
              <w:rPr>
                <w:rFonts w:ascii="Calibri" w:hAnsi="Calibri"/>
                <w:b/>
                <w:color w:val="FFFFFF"/>
                <w:sz w:val="20"/>
              </w:rPr>
              <w:t>Example Values</w:t>
            </w:r>
          </w:p>
        </w:tc>
      </w:tr>
      <w:tr>
        <w:tc>
          <w:tcPr>
            <w:tcW w:type="dxa" w:w="2592"/>
            <w:shd w:fill="F2F7FB" w:val="clear"/>
          </w:tcPr>
          <w:p>
            <w:pPr>
              <w:spacing w:before="60" w:after="60"/>
            </w:pPr>
            <w:r/>
            <w:r>
              <w:rPr>
                <w:rFonts w:ascii="Calibri" w:hAnsi="Calibri"/>
                <w:sz w:val="20"/>
              </w:rPr>
              <w:t>Section 1</w:t>
              <w:br/>
              <w:t>Weekly Performance</w:t>
              <w:br/>
              <w:t>Classification</w:t>
            </w:r>
          </w:p>
        </w:tc>
        <w:tc>
          <w:tcPr>
            <w:tcW w:type="dxa" w:w="5184"/>
            <w:shd w:fill="F2F7FB" w:val="clear"/>
          </w:tcPr>
          <w:p>
            <w:pPr>
              <w:spacing w:before="60" w:after="60"/>
            </w:pPr>
            <w:r/>
            <w:r>
              <w:rPr>
                <w:rFonts w:ascii="Calibri" w:hAnsi="Calibri"/>
                <w:sz w:val="20"/>
              </w:rPr>
              <w:t>The athlete’s overall performance tier for the week and whether they are trending up, flat, or down. Think of this as the headline.</w:t>
            </w:r>
          </w:p>
        </w:tc>
        <w:tc>
          <w:tcPr>
            <w:tcW w:type="dxa" w:w="3024"/>
            <w:shd w:fill="F2F7FB" w:val="clear"/>
          </w:tcPr>
          <w:p>
            <w:pPr>
              <w:spacing w:before="60" w:after="60"/>
            </w:pPr>
            <w:r/>
            <w:r>
              <w:rPr>
                <w:rFonts w:ascii="Calibri" w:hAnsi="Calibri"/>
                <w:sz w:val="20"/>
              </w:rPr>
              <w:t>Growth / Improving</w:t>
              <w:br/>
              <w:t>Mixed / Stable</w:t>
              <w:br/>
              <w:t>Reset / Declining</w:t>
            </w:r>
          </w:p>
        </w:tc>
      </w:tr>
      <w:tr>
        <w:tc>
          <w:tcPr>
            <w:tcW w:type="dxa" w:w="2592"/>
          </w:tcPr>
          <w:p>
            <w:pPr>
              <w:spacing w:before="60" w:after="60"/>
            </w:pPr>
            <w:r/>
            <w:r>
              <w:rPr>
                <w:rFonts w:ascii="Calibri" w:hAnsi="Calibri"/>
                <w:sz w:val="20"/>
              </w:rPr>
              <w:t>Section 2</w:t>
              <w:br/>
              <w:t>Consistency Signal</w:t>
            </w:r>
          </w:p>
        </w:tc>
        <w:tc>
          <w:tcPr>
            <w:tcW w:type="dxa" w:w="5184"/>
          </w:tcPr>
          <w:p>
            <w:pPr>
              <w:spacing w:before="60" w:after="60"/>
            </w:pPr>
            <w:r/>
            <w:r>
              <w:rPr>
                <w:rFonts w:ascii="Calibri" w:hAnsi="Calibri"/>
                <w:sz w:val="20"/>
              </w:rPr>
              <w:t>How stable the athlete’s daily execution patterns were across the week. A Variable signal means uneven engagement — some strong days, some weak.</w:t>
            </w:r>
          </w:p>
        </w:tc>
        <w:tc>
          <w:tcPr>
            <w:tcW w:type="dxa" w:w="3024"/>
          </w:tcPr>
          <w:p>
            <w:pPr>
              <w:spacing w:before="60" w:after="60"/>
            </w:pPr>
            <w:r/>
            <w:r>
              <w:rPr>
                <w:rFonts w:ascii="Calibri" w:hAnsi="Calibri"/>
                <w:sz w:val="20"/>
              </w:rPr>
              <w:t>Stable</w:t>
              <w:br/>
              <w:t>Improving</w:t>
              <w:br/>
              <w:t>Variable</w:t>
            </w:r>
          </w:p>
        </w:tc>
      </w:tr>
      <w:tr>
        <w:tc>
          <w:tcPr>
            <w:tcW w:type="dxa" w:w="2592"/>
            <w:shd w:fill="F2F7FB" w:val="clear"/>
          </w:tcPr>
          <w:p>
            <w:pPr>
              <w:spacing w:before="60" w:after="60"/>
            </w:pPr>
            <w:r/>
            <w:r>
              <w:rPr>
                <w:rFonts w:ascii="Calibri" w:hAnsi="Calibri"/>
                <w:sz w:val="20"/>
              </w:rPr>
              <w:t>Section 3</w:t>
              <w:br/>
              <w:t>Focus Distribution</w:t>
            </w:r>
          </w:p>
        </w:tc>
        <w:tc>
          <w:tcPr>
            <w:tcW w:type="dxa" w:w="5184"/>
            <w:shd w:fill="F2F7FB" w:val="clear"/>
          </w:tcPr>
          <w:p>
            <w:pPr>
              <w:spacing w:before="60" w:after="60"/>
            </w:pPr>
            <w:r/>
            <w:r>
              <w:rPr>
                <w:rFonts w:ascii="Calibri" w:hAnsi="Calibri"/>
                <w:sz w:val="20"/>
              </w:rPr>
              <w:t>Where the athlete is directing their mental energy based on their Bullseye self-assessment. Center-Dominant means focus on controllables (effort, preparation, response). Outer-Ring Drift means attention is shifting to things outside their control.</w:t>
            </w:r>
          </w:p>
        </w:tc>
        <w:tc>
          <w:tcPr>
            <w:tcW w:type="dxa" w:w="3024"/>
            <w:shd w:fill="F2F7FB" w:val="clear"/>
          </w:tcPr>
          <w:p>
            <w:pPr>
              <w:spacing w:before="60" w:after="60"/>
            </w:pPr>
            <w:r/>
            <w:r>
              <w:rPr>
                <w:rFonts w:ascii="Calibri" w:hAnsi="Calibri"/>
                <w:sz w:val="20"/>
              </w:rPr>
              <w:t>Center-Dominant</w:t>
              <w:br/>
              <w:t>Mixed Focus</w:t>
              <w:br/>
              <w:t>Outer-Ring Drift Detected</w:t>
            </w:r>
          </w:p>
        </w:tc>
      </w:tr>
      <w:tr>
        <w:tc>
          <w:tcPr>
            <w:tcW w:type="dxa" w:w="2592"/>
          </w:tcPr>
          <w:p>
            <w:pPr>
              <w:spacing w:before="60" w:after="60"/>
            </w:pPr>
            <w:r/>
            <w:r>
              <w:rPr>
                <w:rFonts w:ascii="Calibri" w:hAnsi="Calibri"/>
                <w:sz w:val="20"/>
              </w:rPr>
              <w:t>Section 4</w:t>
              <w:br/>
              <w:t>Recommitment &amp;</w:t>
              <w:br/>
              <w:t>Response Signal</w:t>
            </w:r>
          </w:p>
        </w:tc>
        <w:tc>
          <w:tcPr>
            <w:tcW w:type="dxa" w:w="5184"/>
          </w:tcPr>
          <w:p>
            <w:pPr>
              <w:spacing w:before="60" w:after="60"/>
            </w:pPr>
            <w:r/>
            <w:r>
              <w:rPr>
                <w:rFonts w:ascii="Calibri" w:hAnsi="Calibri"/>
                <w:sz w:val="20"/>
              </w:rPr>
              <w:t>How the athlete bounces back after a difficult day. Strong recommitment means fast recovery. Low means the athlete struggled to re-engage. Not Applicable means no adverse days occurred.</w:t>
            </w:r>
          </w:p>
        </w:tc>
        <w:tc>
          <w:tcPr>
            <w:tcW w:type="dxa" w:w="3024"/>
          </w:tcPr>
          <w:p>
            <w:pPr>
              <w:spacing w:before="60" w:after="60"/>
            </w:pPr>
            <w:r/>
            <w:r>
              <w:rPr>
                <w:rFonts w:ascii="Calibri" w:hAnsi="Calibri"/>
                <w:sz w:val="20"/>
              </w:rPr>
              <w:t>Strong</w:t>
              <w:br/>
              <w:t>Moderate</w:t>
              <w:br/>
              <w:t>Low</w:t>
              <w:br/>
              <w:t>Not Applicable</w:t>
            </w:r>
          </w:p>
        </w:tc>
      </w:tr>
      <w:tr>
        <w:tc>
          <w:tcPr>
            <w:tcW w:type="dxa" w:w="2592"/>
            <w:shd w:fill="F2F7FB" w:val="clear"/>
          </w:tcPr>
          <w:p>
            <w:pPr>
              <w:spacing w:before="60" w:after="60"/>
            </w:pPr>
            <w:r/>
            <w:r>
              <w:rPr>
                <w:rFonts w:ascii="Calibri" w:hAnsi="Calibri"/>
                <w:sz w:val="20"/>
              </w:rPr>
              <w:t>Section 5</w:t>
              <w:br/>
              <w:t>Confidence Momentum</w:t>
            </w:r>
          </w:p>
        </w:tc>
        <w:tc>
          <w:tcPr>
            <w:tcW w:type="dxa" w:w="5184"/>
            <w:shd w:fill="F2F7FB" w:val="clear"/>
          </w:tcPr>
          <w:p>
            <w:pPr>
              <w:spacing w:before="60" w:after="60"/>
            </w:pPr>
            <w:r/>
            <w:r>
              <w:rPr>
                <w:rFonts w:ascii="Calibri" w:hAnsi="Calibri"/>
                <w:sz w:val="20"/>
              </w:rPr>
              <w:t>A directional indicator of whether the athlete’s confidence is building, holding steady, or becoming variable. Always framed around preparation and execution — never emotional.</w:t>
            </w:r>
          </w:p>
        </w:tc>
        <w:tc>
          <w:tcPr>
            <w:tcW w:type="dxa" w:w="3024"/>
            <w:shd w:fill="F2F7FB" w:val="clear"/>
          </w:tcPr>
          <w:p>
            <w:pPr>
              <w:spacing w:before="60" w:after="60"/>
            </w:pPr>
            <w:r/>
            <w:r>
              <w:rPr>
                <w:rFonts w:ascii="Calibri" w:hAnsi="Calibri"/>
                <w:sz w:val="20"/>
              </w:rPr>
              <w:t>Building ↑</w:t>
              <w:br/>
              <w:t>Stable →</w:t>
              <w:br/>
              <w:t>Variable ↓</w:t>
            </w:r>
          </w:p>
        </w:tc>
      </w:tr>
      <w:tr>
        <w:tc>
          <w:tcPr>
            <w:tcW w:type="dxa" w:w="2592"/>
          </w:tcPr>
          <w:p>
            <w:pPr>
              <w:spacing w:before="60" w:after="60"/>
            </w:pPr>
            <w:r/>
            <w:r>
              <w:rPr>
                <w:rFonts w:ascii="Calibri" w:hAnsi="Calibri"/>
                <w:sz w:val="20"/>
              </w:rPr>
              <w:t>Section 6</w:t>
              <w:br/>
              <w:t>Stress Load Indicator</w:t>
            </w:r>
          </w:p>
        </w:tc>
        <w:tc>
          <w:tcPr>
            <w:tcW w:type="dxa" w:w="5184"/>
          </w:tcPr>
          <w:p>
            <w:pPr>
              <w:spacing w:before="60" w:after="60"/>
            </w:pPr>
            <w:r/>
            <w:r>
              <w:rPr>
                <w:rFonts w:ascii="Calibri" w:hAnsi="Calibri"/>
                <w:sz w:val="20"/>
              </w:rPr>
              <w:t>A band-based indicator of the athlete’s current stress level. The system detects stress through behavioral signals without revealing the source. You will never see “family stress” or “academic stress” — only the band.</w:t>
            </w:r>
          </w:p>
        </w:tc>
        <w:tc>
          <w:tcPr>
            <w:tcW w:type="dxa" w:w="3024"/>
          </w:tcPr>
          <w:p>
            <w:pPr>
              <w:spacing w:before="60" w:after="60"/>
            </w:pPr>
            <w:r/>
            <w:r>
              <w:rPr>
                <w:rFonts w:ascii="Calibri" w:hAnsi="Calibri"/>
                <w:sz w:val="20"/>
              </w:rPr>
              <w:t>Low</w:t>
              <w:br/>
              <w:t>Moderate</w:t>
              <w:br/>
              <w:t>Elevated</w:t>
            </w:r>
          </w:p>
        </w:tc>
      </w:tr>
      <w:tr>
        <w:tc>
          <w:tcPr>
            <w:tcW w:type="dxa" w:w="2592"/>
            <w:shd w:fill="F2F7FB" w:val="clear"/>
          </w:tcPr>
          <w:p>
            <w:pPr>
              <w:spacing w:before="60" w:after="60"/>
            </w:pPr>
            <w:r/>
            <w:r>
              <w:rPr>
                <w:rFonts w:ascii="Calibri" w:hAnsi="Calibri"/>
                <w:sz w:val="20"/>
              </w:rPr>
              <w:t>Section 7</w:t>
              <w:br/>
              <w:t>Growth Phase Status</w:t>
            </w:r>
          </w:p>
        </w:tc>
        <w:tc>
          <w:tcPr>
            <w:tcW w:type="dxa" w:w="5184"/>
            <w:shd w:fill="F2F7FB" w:val="clear"/>
          </w:tcPr>
          <w:p>
            <w:pPr>
              <w:spacing w:before="60" w:after="60"/>
            </w:pPr>
            <w:r/>
            <w:r>
              <w:rPr>
                <w:rFonts w:ascii="Calibri" w:hAnsi="Calibri"/>
                <w:sz w:val="20"/>
              </w:rPr>
              <w:t>Where the athlete sits in the VirtusFocus developmental framework and whether they are advancing, stable, or regressing. Advancement requires sustained behavioral execution over multiple weeks.</w:t>
            </w:r>
          </w:p>
        </w:tc>
        <w:tc>
          <w:tcPr>
            <w:tcW w:type="dxa" w:w="3024"/>
            <w:shd w:fill="F2F7FB" w:val="clear"/>
          </w:tcPr>
          <w:p>
            <w:pPr>
              <w:spacing w:before="60" w:after="60"/>
            </w:pPr>
            <w:r/>
            <w:r>
              <w:rPr>
                <w:rFonts w:ascii="Calibri" w:hAnsi="Calibri"/>
                <w:sz w:val="20"/>
              </w:rPr>
              <w:t>Developing / Stable</w:t>
              <w:br/>
              <w:t>Consistent / Advancing</w:t>
            </w:r>
          </w:p>
        </w:tc>
      </w:tr>
      <w:tr>
        <w:tc>
          <w:tcPr>
            <w:tcW w:type="dxa" w:w="2592"/>
          </w:tcPr>
          <w:p>
            <w:pPr>
              <w:spacing w:before="60" w:after="60"/>
            </w:pPr>
            <w:r/>
            <w:r>
              <w:rPr>
                <w:rFonts w:ascii="Calibri" w:hAnsi="Calibri"/>
                <w:sz w:val="20"/>
              </w:rPr>
              <w:t>Section 8</w:t>
              <w:br/>
              <w:t>Key Performance Signal</w:t>
            </w:r>
          </w:p>
        </w:tc>
        <w:tc>
          <w:tcPr>
            <w:tcW w:type="dxa" w:w="5184"/>
          </w:tcPr>
          <w:p>
            <w:pPr>
              <w:spacing w:before="60" w:after="60"/>
            </w:pPr>
            <w:r/>
            <w:r>
              <w:rPr>
                <w:rFonts w:ascii="Calibri" w:hAnsi="Calibri"/>
                <w:sz w:val="20"/>
              </w:rPr>
              <w:t>The single most important developmental priority for the athlete this week. This is the one thing to pay attention to.</w:t>
            </w:r>
          </w:p>
        </w:tc>
        <w:tc>
          <w:tcPr>
            <w:tcW w:type="dxa" w:w="3024"/>
          </w:tcPr>
          <w:p>
            <w:pPr>
              <w:spacing w:before="60" w:after="60"/>
            </w:pPr>
            <w:r/>
            <w:r>
              <w:rPr>
                <w:rFonts w:ascii="Calibri" w:hAnsi="Calibri"/>
                <w:sz w:val="20"/>
              </w:rPr>
              <w:t>Pre-Competition Preparation Quality</w:t>
              <w:br/>
              <w:t>Sunday Engagement Structure</w:t>
              <w:br/>
              <w:t>Controllable Focus Alignment</w:t>
              <w:br/>
              <w:t>Adaptive Engagement Under Adversity</w:t>
            </w:r>
          </w:p>
        </w:tc>
      </w:tr>
      <w:tr>
        <w:tc>
          <w:tcPr>
            <w:tcW w:type="dxa" w:w="2592"/>
            <w:shd w:fill="F2F7FB" w:val="clear"/>
          </w:tcPr>
          <w:p>
            <w:pPr>
              <w:spacing w:before="60" w:after="60"/>
            </w:pPr>
            <w:r/>
            <w:r>
              <w:rPr>
                <w:rFonts w:ascii="Calibri" w:hAnsi="Calibri"/>
                <w:sz w:val="20"/>
              </w:rPr>
              <w:t>Section 9</w:t>
              <w:br/>
              <w:t>Coach Context Cue</w:t>
            </w:r>
          </w:p>
        </w:tc>
        <w:tc>
          <w:tcPr>
            <w:tcW w:type="dxa" w:w="5184"/>
            <w:shd w:fill="F2F7FB" w:val="clear"/>
          </w:tcPr>
          <w:p>
            <w:pPr>
              <w:spacing w:before="60" w:after="60"/>
            </w:pPr>
            <w:r/>
            <w:r>
              <w:rPr>
                <w:rFonts w:ascii="Calibri" w:hAnsi="Calibri"/>
                <w:sz w:val="20"/>
              </w:rPr>
              <w:t>A neutral, non-directive suggestion for coaching reinforcement. Uses language like “Reinforce...” or “Monitor trend...” — never “Coach should...” or “Must...”</w:t>
            </w:r>
          </w:p>
        </w:tc>
        <w:tc>
          <w:tcPr>
            <w:tcW w:type="dxa" w:w="3024"/>
            <w:shd w:fill="F2F7FB" w:val="clear"/>
          </w:tcPr>
          <w:p>
            <w:pPr>
              <w:spacing w:before="60" w:after="60"/>
            </w:pPr>
            <w:r/>
            <w:r>
              <w:rPr>
                <w:rFonts w:ascii="Calibri" w:hAnsi="Calibri"/>
                <w:sz w:val="20"/>
              </w:rPr>
              <w:t>“Reinforce the connection between structured preparation routines and controllable pre-competition behaviors.”</w:t>
            </w:r>
          </w:p>
        </w:tc>
      </w:tr>
      <w:tr>
        <w:tc>
          <w:tcPr>
            <w:tcW w:type="dxa" w:w="2592"/>
          </w:tcPr>
          <w:p>
            <w:pPr>
              <w:spacing w:before="60" w:after="60"/>
            </w:pPr>
            <w:r/>
            <w:r>
              <w:rPr>
                <w:rFonts w:ascii="Calibri" w:hAnsi="Calibri"/>
                <w:sz w:val="20"/>
              </w:rPr>
              <w:t>Section 10</w:t>
              <w:br/>
              <w:t>Composite Readiness</w:t>
              <w:br/>
              <w:t>Signal</w:t>
            </w:r>
          </w:p>
        </w:tc>
        <w:tc>
          <w:tcPr>
            <w:tcW w:type="dxa" w:w="5184"/>
          </w:tcPr>
          <w:p>
            <w:pPr>
              <w:spacing w:before="60" w:after="60"/>
            </w:pPr>
            <w:r/>
            <w:r>
              <w:rPr>
                <w:rFonts w:ascii="Calibri" w:hAnsi="Calibri"/>
                <w:sz w:val="20"/>
              </w:rPr>
              <w:t>The bottom-line signal. Synthesizes the entire report into a single directional indicator with a color band. This is what you see first on the dashboard.</w:t>
            </w:r>
          </w:p>
        </w:tc>
        <w:tc>
          <w:tcPr>
            <w:tcW w:type="dxa" w:w="3024"/>
          </w:tcPr>
          <w:p>
            <w:pPr>
              <w:spacing w:before="60" w:after="60"/>
            </w:pPr>
            <w:r/>
            <w:r>
              <w:rPr>
                <w:rFonts w:ascii="Calibri" w:hAnsi="Calibri"/>
                <w:sz w:val="20"/>
              </w:rPr>
              <w:t>Positive (Green)</w:t>
              <w:br/>
              <w:t>Steady (Yellow)</w:t>
              <w:br/>
              <w:t>Attention (Orange)</w:t>
            </w:r>
          </w:p>
        </w:tc>
      </w:tr>
    </w:tbl>
    <w:p/>
    <w:p>
      <w:pPr>
        <w:pStyle w:val="Heading2"/>
      </w:pPr>
      <w:r>
        <w:t>The Traffic Light System</w:t>
      </w:r>
    </w:p>
    <w:p>
      <w:r>
        <w:rPr>
          <w:b/>
          <w:color w:val="2E7D32"/>
        </w:rPr>
        <w:t xml:space="preserve">Green (Positive): </w:t>
      </w:r>
      <w:r>
        <w:t>The athlete’s behavioral execution, consistency, and controllable focus are all aligned. No coaching intervention needed beyond reinforcing what is working.</w:t>
      </w:r>
    </w:p>
    <w:p>
      <w:r>
        <w:rPr>
          <w:b/>
          <w:color w:val="F9A825"/>
        </w:rPr>
        <w:t xml:space="preserve">Yellow (Steady): </w:t>
      </w:r>
      <w:r>
        <w:t>The athlete is executing but with some variability or moderating factors. This is not a warning — it means “stay aware.” Most athletes will be Yellow most weeks.</w:t>
      </w:r>
    </w:p>
    <w:p>
      <w:r>
        <w:rPr>
          <w:b/>
          <w:color w:val="EF6C00"/>
        </w:rPr>
        <w:t xml:space="preserve">Orange (Attention): </w:t>
      </w:r>
      <w:r>
        <w:t>One or more significant signals suggest the athlete needs additional coaching attention. This could be elevated stress, declining consistency, or outer-ring focus drift. Orange is the maximum attention signal — the system never uses red.</w:t>
      </w:r>
    </w:p>
    <w:p>
      <w:r>
        <w:rPr>
          <w:b/>
        </w:rPr>
        <w:t xml:space="preserve">Important: </w:t>
      </w:r>
      <w:r>
        <w:t>Orange does not mean “at-risk.” It does not mean the athlete is struggling emotionally. It means the behavioral signals suggest this is a week where a conversation, a check-in, or additional reinforcement would be valuable.</w:t>
      </w:r>
    </w:p>
    <w:p>
      <w:pPr>
        <w:spacing w:before="120" w:after="120"/>
        <w:pBdr>
          <w:bottom w:val="single" w:sz="4" w:space="1" w:color="CCCCCC"/>
        </w:pBdr>
      </w:pPr>
    </w:p>
    <w:p>
      <w:pPr>
        <w:pStyle w:val="Heading1"/>
      </w:pPr>
      <w:r>
        <w:t>How the Dashboard Helps You Coach Better</w:t>
      </w:r>
    </w:p>
    <w:p>
      <w:r>
        <w:t>The Coach Insights Dashboard does not tell you what to say to your athletes. It tells you where to look, what to reinforce, and when something has shifted — without requiring you to read journals, interpret self-assessments, or guess what is going on internally.</w:t>
      </w:r>
    </w:p>
    <w:p>
      <w:r>
        <w:t>Here are four real scenarios from our pilot program showing how coaches used the dashboard.</w:t>
      </w:r>
    </w:p>
    <w:p>
      <w:pPr>
        <w:pStyle w:val="Heading2"/>
      </w:pPr>
      <w:r>
        <w:t>Scenario 1 — Detecting Stress Without Invading Privacy</w:t>
      </w:r>
    </w:p>
    <w:p>
      <w:r>
        <w:t>Athlete A is a Division I softball player in her Developing phase. For two consecutive weeks, her dashboard showed Green readiness with Growth classification. In Week 3, during an away trip, her signals shifted:</w:t>
      </w:r>
    </w:p>
    <w:p>
      <w:pPr>
        <w:pStyle w:val="ListBullet"/>
        <w:spacing w:after="60"/>
      </w:pPr>
      <w:r>
        <w:t>Composite Readiness: Yellow (down from Green)</w:t>
      </w:r>
    </w:p>
    <w:p>
      <w:pPr>
        <w:pStyle w:val="ListBullet"/>
        <w:spacing w:after="60"/>
      </w:pPr>
      <w:r>
        <w:t>Stress Load: Elevated (up from Low)</w:t>
      </w:r>
    </w:p>
    <w:p>
      <w:pPr>
        <w:pStyle w:val="ListBullet"/>
        <w:spacing w:after="60"/>
      </w:pPr>
      <w:r>
        <w:t>Focus Distribution: Outer-Ring Drift Detected (shifted from Center-Dominant)</w:t>
      </w:r>
    </w:p>
    <w:p>
      <w:pPr>
        <w:pStyle w:val="ListBullet"/>
        <w:spacing w:after="60"/>
      </w:pPr>
      <w:r>
        <w:t>Key Performance Signal: Controllable Focus Alignment</w:t>
      </w:r>
    </w:p>
    <w:p>
      <w:pPr>
        <w:pStyle w:val="ListBullet"/>
        <w:spacing w:after="60"/>
      </w:pPr>
      <w:r>
        <w:t>Weekly Tier: Growth (still maintained)</w:t>
      </w:r>
    </w:p>
    <w:p>
      <w:r>
        <w:rPr>
          <w:b/>
        </w:rPr>
        <w:t xml:space="preserve">What the coach saw: </w:t>
      </w:r>
      <w:r>
        <w:t>Something shifted this week. Stress is up, focus is drifting to things outside her control, but she is still executing. The system flagged “Controllable Focus Alignment” as the priority — meaning the coaching action is to reinforce controllable behaviors.</w:t>
      </w:r>
    </w:p>
    <w:p>
      <w:r>
        <w:rPr>
          <w:b/>
        </w:rPr>
        <w:t xml:space="preserve">What the coach did NOT see: </w:t>
      </w:r>
      <w:r>
        <w:t>The athlete’s journal entries about coaching dynamics, feeling homesick, or identity-level emotional strain. None of that appeared anywhere in the report.</w:t>
      </w:r>
    </w:p>
    <w:p>
      <w:r>
        <w:rPr>
          <w:b/>
        </w:rPr>
        <w:t xml:space="preserve">What happened: </w:t>
      </w:r>
      <w:r>
        <w:t>The position coach had a brief conversation reinforcing preparation routines and controllable effort. The athlete returned to Green readiness the following week with a Building confidence momentum signal. By Week 5, she advanced to the Consistent growth phase.</w:t>
      </w:r>
    </w:p>
    <w:p>
      <w:r>
        <w:rPr>
          <w:b/>
          <w:color w:val="1B3A5C"/>
        </w:rPr>
        <w:t xml:space="preserve">Why this matters: </w:t>
      </w:r>
      <w:r>
        <w:t>The dashboard gave the coach exactly enough information to act — without crossing privacy boundaries or requiring the coach to interpret emotional content.</w:t>
      </w:r>
    </w:p>
    <w:p>
      <w:pPr>
        <w:pStyle w:val="Heading2"/>
      </w:pPr>
      <w:r>
        <w:t>Scenario 2 — Spotting a Structural Pattern Across Weeks</w:t>
      </w:r>
    </w:p>
    <w:p>
      <w:r>
        <w:t>Athlete B is a Division I football player. His dashboard showed a consistent pattern across three weeks:</w:t>
      </w:r>
    </w:p>
    <w:p>
      <w:pPr>
        <w:pStyle w:val="ListBullet"/>
        <w:spacing w:after="60"/>
      </w:pPr>
      <w:r>
        <w:t>Composite Readiness: Yellow (all three weeks)</w:t>
      </w:r>
    </w:p>
    <w:p>
      <w:pPr>
        <w:pStyle w:val="ListBullet"/>
        <w:spacing w:after="60"/>
      </w:pPr>
      <w:r>
        <w:t>Weekly Tier: Mixed (all three weeks)</w:t>
      </w:r>
    </w:p>
    <w:p>
      <w:pPr>
        <w:pStyle w:val="ListBullet"/>
        <w:spacing w:after="60"/>
      </w:pPr>
      <w:r>
        <w:t>Consistency Signal: Variable (all three weeks, with a “stagnant” trend note)</w:t>
      </w:r>
    </w:p>
    <w:p>
      <w:pPr>
        <w:pStyle w:val="ListBullet"/>
        <w:spacing w:after="60"/>
      </w:pPr>
      <w:r>
        <w:t>Key Performance Signal: “Sunday Engagement Structure” (named by Week 3)</w:t>
      </w:r>
    </w:p>
    <w:p>
      <w:r>
        <w:rPr>
          <w:b/>
        </w:rPr>
        <w:t xml:space="preserve">What the coach saw: </w:t>
      </w:r>
      <w:r>
        <w:t>This athlete is stuck. Three straight Mixed weeks, no trend improvement, and the system has identified the specific gap — unstructured days (Sundays) are the consistent weak point. The athlete executes well Monday through Saturday when the team structure is in place, but disengages on the one day he is on his own.</w:t>
      </w:r>
    </w:p>
    <w:p>
      <w:r>
        <w:rPr>
          <w:b/>
        </w:rPr>
        <w:t xml:space="preserve">What the coach did NOT see: </w:t>
      </w:r>
      <w:r>
        <w:t>What the athlete wrote about in his journal, his personal reflections on coaching identity, or any details about his Sunday routine.</w:t>
      </w:r>
    </w:p>
    <w:p>
      <w:r>
        <w:rPr>
          <w:b/>
        </w:rPr>
        <w:t xml:space="preserve">What happened: </w:t>
      </w:r>
      <w:r>
        <w:t>The coaching staff used this insight to have a targeted conversation about building self-directed structure on off days. The system simultaneously adapted the athlete’s weekly micro-commitment from a written reflection format to a behavioral action format, since two consecutive written commitments had not been executed.</w:t>
      </w:r>
    </w:p>
    <w:p>
      <w:r>
        <w:rPr>
          <w:b/>
          <w:color w:val="1B3A5C"/>
        </w:rPr>
        <w:t xml:space="preserve">Why this matters: </w:t>
      </w:r>
      <w:r>
        <w:t>Without the dashboard, this pattern could have taken a month or more to identify through casual observation. The system named it by Week 3 and gave the coaching staff a specific coaching target.</w:t>
      </w:r>
    </w:p>
    <w:p>
      <w:pPr>
        <w:pStyle w:val="Heading2"/>
      </w:pPr>
      <w:r>
        <w:t>Scenario 3 — Tracking Recovery from Adversity</w:t>
      </w:r>
    </w:p>
    <w:p>
      <w:r>
        <w:t>Athlete C is a Division II wrestler with 19 weeks of data. In Week 14, his dashboard signals dropped sharply:</w:t>
      </w:r>
    </w:p>
    <w:p>
      <w:pPr>
        <w:pStyle w:val="ListBullet"/>
        <w:spacing w:after="60"/>
      </w:pPr>
      <w:r>
        <w:t>Composite Readiness: Orange (the only Orange signal in his entire 19-week program)</w:t>
      </w:r>
    </w:p>
    <w:p>
      <w:pPr>
        <w:pStyle w:val="ListBullet"/>
        <w:spacing w:after="60"/>
      </w:pPr>
      <w:r>
        <w:t>Trend Direction: Declining</w:t>
      </w:r>
    </w:p>
    <w:p>
      <w:pPr>
        <w:pStyle w:val="ListBullet"/>
        <w:spacing w:after="60"/>
      </w:pPr>
      <w:r>
        <w:t>Stress Load: Elevated</w:t>
      </w:r>
    </w:p>
    <w:p>
      <w:pPr>
        <w:pStyle w:val="ListBullet"/>
        <w:spacing w:after="60"/>
      </w:pPr>
      <w:r>
        <w:t>Consistency Signal: Variable</w:t>
      </w:r>
    </w:p>
    <w:p>
      <w:pPr>
        <w:pStyle w:val="ListBullet"/>
        <w:spacing w:after="60"/>
      </w:pPr>
      <w:r>
        <w:t>Key Performance Signal: Adaptive Engagement Under Adversity</w:t>
      </w:r>
    </w:p>
    <w:p>
      <w:r>
        <w:t>Three weeks later (Week 17), his dashboard showed:</w:t>
      </w:r>
    </w:p>
    <w:p>
      <w:pPr>
        <w:pStyle w:val="ListBullet"/>
        <w:spacing w:after="60"/>
      </w:pPr>
      <w:r>
        <w:t>Composite Readiness: Green</w:t>
      </w:r>
    </w:p>
    <w:p>
      <w:pPr>
        <w:pStyle w:val="ListBullet"/>
        <w:spacing w:after="60"/>
      </w:pPr>
      <w:r>
        <w:t>Trend Direction: Improving</w:t>
      </w:r>
    </w:p>
    <w:p>
      <w:pPr>
        <w:pStyle w:val="ListBullet"/>
        <w:spacing w:after="60"/>
      </w:pPr>
      <w:r>
        <w:t>Confidence Momentum: Building</w:t>
      </w:r>
    </w:p>
    <w:p>
      <w:pPr>
        <w:pStyle w:val="ListBullet"/>
        <w:spacing w:after="60"/>
      </w:pPr>
      <w:r>
        <w:t>Key Performance Signal: Competition Mindset Preparation</w:t>
      </w:r>
    </w:p>
    <w:p>
      <w:pPr>
        <w:pStyle w:val="ListBullet"/>
        <w:spacing w:after="60"/>
      </w:pPr>
      <w:r>
        <w:t>Weekly Tier: Growth</w:t>
      </w:r>
    </w:p>
    <w:p>
      <w:r>
        <w:rPr>
          <w:b/>
        </w:rPr>
        <w:t xml:space="preserve">What the coach saw: </w:t>
      </w:r>
      <w:r>
        <w:t>In Week 14, something significant happened — the only Orange signal in the entire program. But the athlete did not disengage. The system noted “Adaptive Engagement Under Adversity” — he adapted his approach rather than shutting down. By Week 17, the full recovery was visible: Green readiness, improving trend, building confidence, and a return to competition preparation.</w:t>
      </w:r>
    </w:p>
    <w:p>
      <w:r>
        <w:rPr>
          <w:b/>
        </w:rPr>
        <w:t xml:space="preserve">What the coach did NOT see: </w:t>
      </w:r>
      <w:r>
        <w:t>The specific injury (hamstring), the medical details, or the athlete’s personal emotional processing of the setback.</w:t>
      </w:r>
    </w:p>
    <w:p>
      <w:r>
        <w:rPr>
          <w:b/>
          <w:color w:val="1B3A5C"/>
        </w:rPr>
        <w:t xml:space="preserve">Why this matters: </w:t>
      </w:r>
      <w:r>
        <w:t>The dashboard gave the coaching staff a real-time recovery arc. They could see the drop, the adaptation, and the return without needing access to any private information. The Coach Context Cue in Week 14 said “Monitor trend for recovery speed” — telling the staff exactly what to watch for.</w:t>
      </w:r>
    </w:p>
    <w:p>
      <w:pPr>
        <w:pStyle w:val="Heading2"/>
      </w:pPr>
      <w:r>
        <w:t>Scenario 4 — Recognizing Growth Phase Advancement</w:t>
      </w:r>
    </w:p>
    <w:p>
      <w:r>
        <w:t>Athlete A (from Scenario 1) reached a milestone in Week 5:</w:t>
      </w:r>
    </w:p>
    <w:p>
      <w:pPr>
        <w:pStyle w:val="ListBullet"/>
        <w:spacing w:after="60"/>
      </w:pPr>
      <w:r>
        <w:t>Growth Phase Status: Consistent / Advancing (Developing to Consistent)</w:t>
      </w:r>
    </w:p>
    <w:p>
      <w:pPr>
        <w:pStyle w:val="ListBullet"/>
        <w:spacing w:after="60"/>
      </w:pPr>
      <w:r>
        <w:t>Composite Readiness: Green</w:t>
      </w:r>
    </w:p>
    <w:p>
      <w:pPr>
        <w:pStyle w:val="ListBullet"/>
        <w:spacing w:after="60"/>
      </w:pPr>
      <w:r>
        <w:t>Consistency Signal: Stable</w:t>
      </w:r>
    </w:p>
    <w:p>
      <w:pPr>
        <w:pStyle w:val="ListBullet"/>
        <w:spacing w:after="60"/>
      </w:pPr>
      <w:r>
        <w:t>Confidence Momentum: Building</w:t>
      </w:r>
    </w:p>
    <w:p>
      <w:r>
        <w:rPr>
          <w:b/>
        </w:rPr>
        <w:t xml:space="preserve">What the coach saw: </w:t>
      </w:r>
      <w:r>
        <w:t>The athlete advanced from Developing to Consistent. This is a significant developmental milestone that requires sustained behavioral execution across multiple weeks — it cannot be achieved in a single good week. The dashboard surfaced this transition in Section 7.</w:t>
      </w:r>
    </w:p>
    <w:p>
      <w:r>
        <w:rPr>
          <w:b/>
          <w:color w:val="1B3A5C"/>
        </w:rPr>
        <w:t xml:space="preserve">Why this matters: </w:t>
      </w:r>
      <w:r>
        <w:t>Growth phase advancement gives coaching staff a longitudinal view of athlete development that transcends week-to-week scores. When an athlete advances, it means their behavioral patterns have stabilized at a higher level. This is the kind of developmental progress that is difficult to track through observation alone but is immediately visible on the dashboard.</w:t>
      </w:r>
    </w:p>
    <w:p>
      <w:pPr>
        <w:spacing w:before="120" w:after="120"/>
        <w:pBdr>
          <w:bottom w:val="single" w:sz="4" w:space="1" w:color="CCCCCC"/>
        </w:pBdr>
      </w:pPr>
    </w:p>
    <w:p>
      <w:pPr>
        <w:pStyle w:val="Heading1"/>
      </w:pPr>
      <w:r>
        <w:t>The Weekly Team Snapshot</w:t>
      </w:r>
    </w:p>
    <w:p>
      <w:r>
        <w:rPr>
          <w:i/>
          <w:color w:val="666666"/>
        </w:rPr>
        <w:t>Position Group and Team-Level Intelligence</w:t>
      </w:r>
    </w:p>
    <w:p>
      <w:r>
        <w:t>When five or more athletes are active in the program, the dashboard generates a Weekly Team Snapshot. This provides aggregate performance intelligence at the team or position group level without identifying any individual athlete.</w:t>
      </w:r>
    </w:p>
    <w:p>
      <w:r>
        <w:t>The Team Snapshot answers questions like:</w:t>
      </w:r>
    </w:p>
    <w:p>
      <w:pPr>
        <w:pStyle w:val="ListBullet"/>
        <w:spacing w:after="60"/>
      </w:pPr>
      <w:r>
        <w:t>What percentage of my roster is in Growth this week vs. Mixed or Reset?</w:t>
      </w:r>
    </w:p>
    <w:p>
      <w:pPr>
        <w:pStyle w:val="ListBullet"/>
        <w:spacing w:after="60"/>
      </w:pPr>
      <w:r>
        <w:t>Is my team’s overall consistency trending up, flat, or down?</w:t>
      </w:r>
    </w:p>
    <w:p>
      <w:pPr>
        <w:pStyle w:val="ListBullet"/>
        <w:spacing w:after="60"/>
      </w:pPr>
      <w:r>
        <w:t>How is focus distribution shifting across the group?</w:t>
      </w:r>
    </w:p>
    <w:p>
      <w:pPr>
        <w:pStyle w:val="ListBullet"/>
        <w:spacing w:after="60"/>
      </w:pPr>
      <w:r>
        <w:t>What is the team-wide stress load looking like heading into a competition week?</w:t>
      </w:r>
    </w:p>
    <w:p>
      <w:pPr>
        <w:pStyle w:val="Heading2"/>
      </w:pPr>
      <w:r>
        <w:t>What You See</w:t>
      </w:r>
    </w:p>
    <w:tbl>
      <w:tblPr>
        <w:tblStyle w:val="TableGrid"/>
        <w:tblW w:type="auto" w:w="0"/>
        <w:jc w:val="center"/>
        <w:tblLook w:firstColumn="1" w:firstRow="1" w:lastColumn="0" w:lastRow="0" w:noHBand="0" w:noVBand="1" w:val="04A0"/>
      </w:tblPr>
      <w:tblGrid>
        <w:gridCol w:w="4680"/>
        <w:gridCol w:w="4680"/>
      </w:tblGrid>
      <w:tr>
        <w:tc>
          <w:tcPr>
            <w:tcW w:type="dxa" w:w="3168"/>
            <w:shd w:fill="1B3A5C" w:val="clear"/>
          </w:tcPr>
          <w:p>
            <w:pPr>
              <w:spacing w:before="80" w:after="80"/>
            </w:pPr>
            <w:r/>
            <w:r>
              <w:rPr>
                <w:rFonts w:ascii="Calibri" w:hAnsi="Calibri"/>
                <w:b/>
                <w:color w:val="FFFFFF"/>
                <w:sz w:val="20"/>
              </w:rPr>
              <w:t>Section</w:t>
            </w:r>
          </w:p>
        </w:tc>
        <w:tc>
          <w:tcPr>
            <w:tcW w:type="dxa" w:w="7632"/>
            <w:shd w:fill="1B3A5C" w:val="clear"/>
          </w:tcPr>
          <w:p>
            <w:pPr>
              <w:spacing w:before="80" w:after="80"/>
            </w:pPr>
            <w:r/>
            <w:r>
              <w:rPr>
                <w:rFonts w:ascii="Calibri" w:hAnsi="Calibri"/>
                <w:b/>
                <w:color w:val="FFFFFF"/>
                <w:sz w:val="20"/>
              </w:rPr>
              <w:t>Description</w:t>
            </w:r>
          </w:p>
        </w:tc>
      </w:tr>
      <w:tr>
        <w:tc>
          <w:tcPr>
            <w:tcW w:type="dxa" w:w="3168"/>
            <w:shd w:fill="F2F7FB" w:val="clear"/>
          </w:tcPr>
          <w:p>
            <w:pPr>
              <w:spacing w:before="60" w:after="60"/>
            </w:pPr>
            <w:r/>
            <w:r>
              <w:rPr>
                <w:rFonts w:ascii="Calibri" w:hAnsi="Calibri"/>
                <w:sz w:val="20"/>
              </w:rPr>
              <w:t>T1 — Executive Summary</w:t>
            </w:r>
          </w:p>
        </w:tc>
        <w:tc>
          <w:tcPr>
            <w:tcW w:type="dxa" w:w="7632"/>
            <w:shd w:fill="F2F7FB" w:val="clear"/>
          </w:tcPr>
          <w:p>
            <w:pPr>
              <w:spacing w:before="60" w:after="60"/>
            </w:pPr>
            <w:r/>
            <w:r>
              <w:rPr>
                <w:rFonts w:ascii="Calibri" w:hAnsi="Calibri"/>
                <w:sz w:val="20"/>
              </w:rPr>
              <w:t>2-3 sentence overview of the team’s weekly behavioral performance, including overall distribution and directional trends.</w:t>
            </w:r>
          </w:p>
        </w:tc>
      </w:tr>
      <w:tr>
        <w:tc>
          <w:tcPr>
            <w:tcW w:type="dxa" w:w="3168"/>
          </w:tcPr>
          <w:p>
            <w:pPr>
              <w:spacing w:before="60" w:after="60"/>
            </w:pPr>
            <w:r/>
            <w:r>
              <w:rPr>
                <w:rFonts w:ascii="Calibri" w:hAnsi="Calibri"/>
                <w:sz w:val="20"/>
              </w:rPr>
              <w:t>T2 — Performance Distribution</w:t>
            </w:r>
          </w:p>
        </w:tc>
        <w:tc>
          <w:tcPr>
            <w:tcW w:type="dxa" w:w="7632"/>
          </w:tcPr>
          <w:p>
            <w:pPr>
              <w:spacing w:before="60" w:after="60"/>
            </w:pPr>
            <w:r/>
            <w:r>
              <w:rPr>
                <w:rFonts w:ascii="Calibri" w:hAnsi="Calibri"/>
                <w:sz w:val="20"/>
              </w:rPr>
              <w:t>Percentage breakdown: what share of athletes are in Growth, Mixed, and Reset tiers this week.</w:t>
            </w:r>
          </w:p>
        </w:tc>
      </w:tr>
      <w:tr>
        <w:tc>
          <w:tcPr>
            <w:tcW w:type="dxa" w:w="3168"/>
            <w:shd w:fill="F2F7FB" w:val="clear"/>
          </w:tcPr>
          <w:p>
            <w:pPr>
              <w:spacing w:before="60" w:after="60"/>
            </w:pPr>
            <w:r/>
            <w:r>
              <w:rPr>
                <w:rFonts w:ascii="Calibri" w:hAnsi="Calibri"/>
                <w:sz w:val="20"/>
              </w:rPr>
              <w:t>T3 — Team Consistency Signal</w:t>
            </w:r>
          </w:p>
        </w:tc>
        <w:tc>
          <w:tcPr>
            <w:tcW w:type="dxa" w:w="7632"/>
            <w:shd w:fill="F2F7FB" w:val="clear"/>
          </w:tcPr>
          <w:p>
            <w:pPr>
              <w:spacing w:before="60" w:after="60"/>
            </w:pPr>
            <w:r/>
            <w:r>
              <w:rPr>
                <w:rFonts w:ascii="Calibri" w:hAnsi="Calibri"/>
                <w:sz w:val="20"/>
              </w:rPr>
              <w:t>Whether the team’s collective consistency is Stable, Variable, or Improving.</w:t>
            </w:r>
          </w:p>
        </w:tc>
      </w:tr>
      <w:tr>
        <w:tc>
          <w:tcPr>
            <w:tcW w:type="dxa" w:w="3168"/>
          </w:tcPr>
          <w:p>
            <w:pPr>
              <w:spacing w:before="60" w:after="60"/>
            </w:pPr>
            <w:r/>
            <w:r>
              <w:rPr>
                <w:rFonts w:ascii="Calibri" w:hAnsi="Calibri"/>
                <w:sz w:val="20"/>
              </w:rPr>
              <w:t>T4 — Team Focus Distribution</w:t>
            </w:r>
          </w:p>
        </w:tc>
        <w:tc>
          <w:tcPr>
            <w:tcW w:type="dxa" w:w="7632"/>
          </w:tcPr>
          <w:p>
            <w:pPr>
              <w:spacing w:before="60" w:after="60"/>
            </w:pPr>
            <w:r/>
            <w:r>
              <w:rPr>
                <w:rFonts w:ascii="Calibri" w:hAnsi="Calibri"/>
                <w:sz w:val="20"/>
              </w:rPr>
              <w:t>How focus patterns are distributed across the roster — what percentage of athletes are Center-Dominant vs. Mixed vs. Outer-Ring Drift.</w:t>
            </w:r>
          </w:p>
        </w:tc>
      </w:tr>
      <w:tr>
        <w:tc>
          <w:tcPr>
            <w:tcW w:type="dxa" w:w="3168"/>
            <w:shd w:fill="F2F7FB" w:val="clear"/>
          </w:tcPr>
          <w:p>
            <w:pPr>
              <w:spacing w:before="60" w:after="60"/>
            </w:pPr>
            <w:r/>
            <w:r>
              <w:rPr>
                <w:rFonts w:ascii="Calibri" w:hAnsi="Calibri"/>
                <w:sz w:val="20"/>
              </w:rPr>
              <w:t>T5 — Team Recommitment Trend</w:t>
            </w:r>
          </w:p>
        </w:tc>
        <w:tc>
          <w:tcPr>
            <w:tcW w:type="dxa" w:w="7632"/>
            <w:shd w:fill="F2F7FB" w:val="clear"/>
          </w:tcPr>
          <w:p>
            <w:pPr>
              <w:spacing w:before="60" w:after="60"/>
            </w:pPr>
            <w:r/>
            <w:r>
              <w:rPr>
                <w:rFonts w:ascii="Calibri" w:hAnsi="Calibri"/>
                <w:sz w:val="20"/>
              </w:rPr>
              <w:t>The aggregate recommitment strength across athletes who experienced adverse days.</w:t>
            </w:r>
          </w:p>
        </w:tc>
      </w:tr>
      <w:tr>
        <w:tc>
          <w:tcPr>
            <w:tcW w:type="dxa" w:w="3168"/>
          </w:tcPr>
          <w:p>
            <w:pPr>
              <w:spacing w:before="60" w:after="60"/>
            </w:pPr>
            <w:r/>
            <w:r>
              <w:rPr>
                <w:rFonts w:ascii="Calibri" w:hAnsi="Calibri"/>
                <w:sz w:val="20"/>
              </w:rPr>
              <w:t>T6 — Team Stress Load Distribution</w:t>
            </w:r>
          </w:p>
        </w:tc>
        <w:tc>
          <w:tcPr>
            <w:tcW w:type="dxa" w:w="7632"/>
          </w:tcPr>
          <w:p>
            <w:pPr>
              <w:spacing w:before="60" w:after="60"/>
            </w:pPr>
            <w:r/>
            <w:r>
              <w:rPr>
                <w:rFonts w:ascii="Calibri" w:hAnsi="Calibri"/>
                <w:sz w:val="20"/>
              </w:rPr>
              <w:t>The distribution of athletes across Low, Moderate, and Elevated stress bands.</w:t>
            </w:r>
          </w:p>
        </w:tc>
      </w:tr>
      <w:tr>
        <w:tc>
          <w:tcPr>
            <w:tcW w:type="dxa" w:w="3168"/>
            <w:shd w:fill="F2F7FB" w:val="clear"/>
          </w:tcPr>
          <w:p>
            <w:pPr>
              <w:spacing w:before="60" w:after="60"/>
            </w:pPr>
            <w:r/>
            <w:r>
              <w:rPr>
                <w:rFonts w:ascii="Calibri" w:hAnsi="Calibri"/>
                <w:sz w:val="20"/>
              </w:rPr>
              <w:t>T7 — Team Composite Readiness</w:t>
            </w:r>
          </w:p>
        </w:tc>
        <w:tc>
          <w:tcPr>
            <w:tcW w:type="dxa" w:w="7632"/>
            <w:shd w:fill="F2F7FB" w:val="clear"/>
          </w:tcPr>
          <w:p>
            <w:pPr>
              <w:spacing w:before="60" w:after="60"/>
            </w:pPr>
            <w:r/>
            <w:r>
              <w:rPr>
                <w:rFonts w:ascii="Calibri" w:hAnsi="Calibri"/>
                <w:sz w:val="20"/>
              </w:rPr>
              <w:t>The percentage of athletes at Green, Yellow, and Orange readiness — the team-level traffic light.</w:t>
            </w:r>
          </w:p>
        </w:tc>
      </w:tr>
    </w:tbl>
    <w:p/>
    <w:p>
      <w:pPr>
        <w:pStyle w:val="Heading2"/>
      </w:pPr>
      <w:r>
        <w:t>How Coaches Use the Team Snapshot</w:t>
      </w:r>
    </w:p>
    <w:p>
      <w:pPr>
        <w:pStyle w:val="ListBullet"/>
        <w:spacing w:after="60"/>
      </w:pPr>
      <w:r>
        <w:t>Pre-competition planning: If 30% of your roster is showing Elevated stress heading into a rivalry week, your preparation approach may need adjustment.</w:t>
      </w:r>
    </w:p>
    <w:p>
      <w:pPr>
        <w:pStyle w:val="ListBullet"/>
        <w:spacing w:after="60"/>
      </w:pPr>
      <w:r>
        <w:t>Position group management: If your defensive line is 80% Green but your secondary is 60% Yellow, you know where to focus staff attention.</w:t>
      </w:r>
    </w:p>
    <w:p>
      <w:pPr>
        <w:pStyle w:val="ListBullet"/>
        <w:spacing w:after="60"/>
      </w:pPr>
      <w:r>
        <w:t>Season-long trend awareness: Watching the performance distribution shift across the season reveals whether your program’s behavioral culture is strengthening or eroding.</w:t>
      </w:r>
    </w:p>
    <w:p>
      <w:pPr>
        <w:pStyle w:val="ListBullet"/>
        <w:spacing w:after="60"/>
      </w:pPr>
      <w:r>
        <w:t>Staff communication: The Team Snapshot gives coordinators and head coaches a shared reference point without requiring them to read individual athlete reports.</w:t>
      </w:r>
    </w:p>
    <w:p>
      <w:r>
        <w:rPr>
          <w:b/>
        </w:rPr>
        <w:t xml:space="preserve">Important: </w:t>
      </w:r>
      <w:r>
        <w:t>The Team Snapshot never identifies individual athletes by name. You will see “40% Growth / 45% Mixed / 15% Reset” — not which athletes fall in each category. Individual insights are available only through the per-athlete Weekly Performance Insight.</w:t>
      </w:r>
    </w:p>
    <w:p>
      <w:pPr>
        <w:spacing w:before="120" w:after="120"/>
        <w:pBdr>
          <w:bottom w:val="single" w:sz="4" w:space="1" w:color="CCCCCC"/>
        </w:pBdr>
      </w:pPr>
    </w:p>
    <w:p>
      <w:pPr>
        <w:pStyle w:val="Heading1"/>
      </w:pPr>
      <w:r>
        <w:t>Longitudinal Dashboard Views</w:t>
      </w:r>
    </w:p>
    <w:p>
      <w:r>
        <w:rPr>
          <w:i/>
          <w:color w:val="666666"/>
        </w:rPr>
        <w:t>Tracking Development Across the Season</w:t>
      </w:r>
    </w:p>
    <w:p>
      <w:r>
        <w:t>Beyond weekly reports, the dashboard provides several longitudinal metrics that track patterns across multiple weeks. These help you see the bigger picture of athlete and team development over the course of a season.</w:t>
      </w:r>
    </w:p>
    <w:p>
      <w:pPr>
        <w:pStyle w:val="Heading2"/>
      </w:pPr>
      <w:r>
        <w:t>Pattern Stability Indicator</w:t>
      </w:r>
    </w:p>
    <w:p>
      <w:r>
        <w:t>After 4+ weeks of data, the dashboard shows whether an athlete’s performance signals are predictable or fluctuating:</w:t>
      </w:r>
    </w:p>
    <w:p>
      <w:pPr>
        <w:pStyle w:val="ListBullet"/>
        <w:spacing w:after="60"/>
      </w:pPr>
      <w:r>
        <w:t>Predictable (Green): Consistent tier and engagement patterns week to week. You know what to expect.</w:t>
      </w:r>
    </w:p>
    <w:p>
      <w:pPr>
        <w:pStyle w:val="ListBullet"/>
        <w:spacing w:after="60"/>
      </w:pPr>
      <w:r>
        <w:t>Transitional (Yellow): Some week-to-week variability, but within a manageable range.</w:t>
      </w:r>
    </w:p>
    <w:p>
      <w:pPr>
        <w:pStyle w:val="ListBullet"/>
        <w:spacing w:after="60"/>
      </w:pPr>
      <w:r>
        <w:t>Fluctuating (Orange): Significant variability — this athlete’s performance patterns are not yet settled.</w:t>
      </w:r>
    </w:p>
    <w:p>
      <w:r>
        <w:t>This is different from within-week consistency. An athlete can be consistent within each week but fluctuate between Growth and Mixed across weeks. The Pattern Stability Indicator captures that cross-week predictability.</w:t>
      </w:r>
    </w:p>
    <w:p>
      <w:pPr>
        <w:pStyle w:val="Heading2"/>
      </w:pPr>
      <w:r>
        <w:t>Response Recovery Indicator</w:t>
      </w:r>
    </w:p>
    <w:p>
      <w:r>
        <w:t>After 3+ weeks with at least one non-Growth week, the dashboard shows how quickly an athlete’s performance returns to Growth after a setback:</w:t>
      </w:r>
    </w:p>
    <w:p>
      <w:pPr>
        <w:pStyle w:val="ListBullet"/>
        <w:spacing w:after="60"/>
      </w:pPr>
      <w:r>
        <w:t>Rapid (Green): Returns to Growth within one week of a Mixed or Reset week.</w:t>
      </w:r>
    </w:p>
    <w:p>
      <w:pPr>
        <w:pStyle w:val="ListBullet"/>
        <w:spacing w:after="60"/>
      </w:pPr>
      <w:r>
        <w:t>Moderate (Yellow): Returns within two weeks.</w:t>
      </w:r>
    </w:p>
    <w:p>
      <w:pPr>
        <w:pStyle w:val="ListBullet"/>
        <w:spacing w:after="60"/>
      </w:pPr>
      <w:r>
        <w:t>Extended (Orange): Takes three or more weeks to return.</w:t>
      </w:r>
    </w:p>
    <w:p>
      <w:pPr>
        <w:pStyle w:val="ListBullet"/>
        <w:spacing w:after="60"/>
      </w:pPr>
      <w:r>
        <w:t>No Recovery Data (Gray): The athlete has been in Growth every week — which is a positive signal.</w:t>
      </w:r>
    </w:p>
    <w:p>
      <w:r>
        <w:t>This metric gives you a concrete measure of resilience as a behavioral pattern, not an emotional assessment.</w:t>
      </w:r>
    </w:p>
    <w:p>
      <w:pPr>
        <w:pStyle w:val="Heading2"/>
      </w:pPr>
      <w:r>
        <w:t>Multi-Week Trend Visualization</w:t>
      </w:r>
    </w:p>
    <w:p>
      <w:r>
        <w:t>The dashboard displays 4-8 weeks of core metrics as visual trend lines using colored dots and directional arrows. Metrics tracked include Weekly Tier, Consistency Signal, Stress Load, Confidence Momentum, Focus Distribution, Recommitment Strength, Growth Phase, and Composite Readiness. This visualization lets you scan an athlete’s trajectory at a glance — is the trend line improving, flat, or declining? Are there recurring patterns (e.g., dips during travel weeks, spikes before competition)?</w:t>
      </w:r>
    </w:p>
    <w:p>
      <w:pPr>
        <w:pStyle w:val="Heading2"/>
      </w:pPr>
      <w:r>
        <w:t>Season Phase Overlay</w:t>
      </w:r>
    </w:p>
    <w:p>
      <w:r>
        <w:t>Your athletic department sets competitive phase dates at the start of the season (Pre-Season, Early Season, Mid-Season, Conference/Championship, Post-Season). The dashboard overlays these phases on the multi-week trend view, so you can see how behavioral patterns shift across different competitive demands.</w:t>
      </w:r>
    </w:p>
    <w:p>
      <w:pPr>
        <w:pStyle w:val="Heading2"/>
      </w:pPr>
      <w:r>
        <w:t>Team Trend Over Time</w:t>
      </w:r>
    </w:p>
    <w:p>
      <w:r>
        <w:t>After 4+ weeks of Team Snapshot data, the dashboard shows how team-level distributions shift across the season using stacked visualizations. You can track whether the percentage of athletes in Growth is increasing, whether stress loads are rising as the season progresses, and whether team consistency is strengthening or declining.</w:t>
      </w:r>
    </w:p>
    <w:p>
      <w:pPr>
        <w:spacing w:before="120" w:after="120"/>
        <w:pBdr>
          <w:bottom w:val="single" w:sz="4" w:space="1" w:color="CCCCCC"/>
        </w:pBdr>
      </w:pPr>
    </w:p>
    <w:p>
      <w:pPr>
        <w:pStyle w:val="Heading1"/>
      </w:pPr>
      <w:r>
        <w:t>What You Will Not See — And Why That Matters</w:t>
      </w:r>
    </w:p>
    <w:p>
      <w:r>
        <w:t>The VirtusFocus Coach Insights Dashboard is built with deliberate boundaries. These boundaries exist to protect athletes, protect coaching staff, and ensure the program operates within institutional compliance standards.</w:t>
      </w:r>
    </w:p>
    <w:p>
      <w:pPr>
        <w:pStyle w:val="Heading2"/>
      </w:pPr>
      <w:r>
        <w:t>Athlete Privacy Protections</w:t>
      </w:r>
    </w:p>
    <w:p>
      <w:r>
        <w:t>The dashboard never displays:</w:t>
      </w:r>
    </w:p>
    <w:p>
      <w:pPr>
        <w:pStyle w:val="ListBullet"/>
        <w:spacing w:after="60"/>
      </w:pPr>
      <w:r>
        <w:t>Journal entries or written reflections</w:t>
      </w:r>
    </w:p>
    <w:p>
      <w:pPr>
        <w:pStyle w:val="ListBullet"/>
        <w:spacing w:after="60"/>
      </w:pPr>
      <w:r>
        <w:t>Personal disclosures (family situations, relationship details, academic concerns)</w:t>
      </w:r>
    </w:p>
    <w:p>
      <w:pPr>
        <w:pStyle w:val="ListBullet"/>
        <w:spacing w:after="60"/>
      </w:pPr>
      <w:r>
        <w:t>Raw self-assessment responses</w:t>
      </w:r>
    </w:p>
    <w:p>
      <w:pPr>
        <w:pStyle w:val="ListBullet"/>
        <w:spacing w:after="60"/>
      </w:pPr>
      <w:r>
        <w:t>Medical or injury information</w:t>
      </w:r>
    </w:p>
    <w:p>
      <w:pPr>
        <w:pStyle w:val="ListBullet"/>
        <w:spacing w:after="60"/>
      </w:pPr>
      <w:r>
        <w:t>Specific emotional content or statements the athlete made</w:t>
      </w:r>
    </w:p>
    <w:p>
      <w:r>
        <w:t>Athletes need to trust that their daily self-reflection work is private. If athletes believe coaches can read their journals, they stop writing honestly — and the entire system loses its value. The privacy boundary is what makes the data reliable.</w:t>
      </w:r>
    </w:p>
    <w:p>
      <w:pPr>
        <w:pStyle w:val="Heading2"/>
      </w:pPr>
      <w:r>
        <w:t>Participation and Usage Protections</w:t>
      </w:r>
    </w:p>
    <w:p>
      <w:r>
        <w:t>The dashboard never displays:</w:t>
      </w:r>
    </w:p>
    <w:p>
      <w:pPr>
        <w:pStyle w:val="ListBullet"/>
        <w:spacing w:after="60"/>
      </w:pPr>
      <w:r>
        <w:t>How often an athlete logs into the app</w:t>
      </w:r>
    </w:p>
    <w:p>
      <w:pPr>
        <w:pStyle w:val="ListBullet"/>
        <w:spacing w:after="60"/>
      </w:pPr>
      <w:r>
        <w:t>How much time they spend in the system</w:t>
      </w:r>
    </w:p>
    <w:p>
      <w:pPr>
        <w:pStyle w:val="ListBullet"/>
        <w:spacing w:after="60"/>
      </w:pPr>
      <w:r>
        <w:t>Daily completion counts or streaks</w:t>
      </w:r>
    </w:p>
    <w:p>
      <w:pPr>
        <w:pStyle w:val="ListBullet"/>
        <w:spacing w:after="60"/>
      </w:pPr>
      <w:r>
        <w:t>Whether they submitted on time or late</w:t>
      </w:r>
    </w:p>
    <w:p>
      <w:pPr>
        <w:pStyle w:val="ListBullet"/>
        <w:spacing w:after="60"/>
      </w:pPr>
      <w:r>
        <w:t>Whether they needed a reminder to engage</w:t>
      </w:r>
    </w:p>
    <w:p>
      <w:r>
        <w:t>VirtusFocus is a voluntary participation system. Surfacing usage metrics would turn a developmental tool into a compliance tracker, which changes the athlete’s relationship with the system. The dashboard shows outcomes and behavioral patterns — never participation behavior.</w:t>
      </w:r>
    </w:p>
    <w:p>
      <w:pPr>
        <w:pStyle w:val="Heading2"/>
      </w:pPr>
      <w:r>
        <w:t>Evaluation Protections</w:t>
      </w:r>
    </w:p>
    <w:p>
      <w:r>
        <w:t>The dashboard never:</w:t>
      </w:r>
    </w:p>
    <w:p>
      <w:pPr>
        <w:pStyle w:val="ListBullet"/>
        <w:spacing w:after="60"/>
      </w:pPr>
      <w:r>
        <w:t>Ranks athletes against each other</w:t>
      </w:r>
    </w:p>
    <w:p>
      <w:pPr>
        <w:pStyle w:val="ListBullet"/>
        <w:spacing w:after="60"/>
      </w:pPr>
      <w:r>
        <w:t>Labels any athlete as “at-risk”</w:t>
      </w:r>
    </w:p>
    <w:p>
      <w:pPr>
        <w:pStyle w:val="ListBullet"/>
        <w:spacing w:after="60"/>
      </w:pPr>
      <w:r>
        <w:t>Uses clinical or mental health terminology</w:t>
      </w:r>
    </w:p>
    <w:p>
      <w:pPr>
        <w:pStyle w:val="ListBullet"/>
        <w:spacing w:after="60"/>
      </w:pPr>
      <w:r>
        <w:t>Suggests disciplinary action or participation consequences</w:t>
      </w:r>
    </w:p>
    <w:p>
      <w:pPr>
        <w:pStyle w:val="ListBullet"/>
        <w:spacing w:after="60"/>
      </w:pPr>
      <w:r>
        <w:t>Provides engagement or compliance scores</w:t>
      </w:r>
    </w:p>
    <w:p>
      <w:pPr>
        <w:pStyle w:val="Heading2"/>
      </w:pPr>
      <w:r>
        <w:t>Why This Protects Coaching Staff</w:t>
      </w:r>
    </w:p>
    <w:p>
      <w:r>
        <w:t>These boundaries are not just about athlete privacy. They protect coaching staff from liability exposure. When a dashboard shows behavioral patterns in neutral, structured language — without personal disclosures, clinical framing, or participation metrics — coaching staff can use the insights confidently without concern that they are accessing information they should not have or making decisions based on protected information.</w:t>
      </w:r>
    </w:p>
    <w:p>
      <w:r>
        <w:t>The mandatory disclaimer on every report reinforces this boundary: these insights inform coaching decisions but can never be used as the basis for participation, selection, or disciplinary actions.</w:t>
      </w:r>
    </w:p>
    <w:p>
      <w:pPr>
        <w:spacing w:before="120" w:after="120"/>
        <w:pBdr>
          <w:bottom w:val="single" w:sz="4" w:space="1" w:color="CCCCCC"/>
        </w:pBdr>
      </w:pPr>
    </w:p>
    <w:p>
      <w:pPr>
        <w:pStyle w:val="Heading1"/>
      </w:pPr>
      <w:r>
        <w:t>Quick Reference Guide</w:t>
      </w:r>
    </w:p>
    <w:p>
      <w:pPr>
        <w:pStyle w:val="Heading2"/>
      </w:pPr>
      <w:r>
        <w:t>Composite Readiness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val="clear"/>
          </w:tcPr>
          <w:p>
            <w:pPr>
              <w:spacing w:before="80" w:after="80"/>
            </w:pPr>
            <w:r/>
            <w:r>
              <w:rPr>
                <w:rFonts w:ascii="Calibri" w:hAnsi="Calibri"/>
                <w:b/>
                <w:color w:val="FFFFFF"/>
                <w:sz w:val="20"/>
              </w:rPr>
              <w:t>Signal</w:t>
            </w:r>
          </w:p>
        </w:tc>
        <w:tc>
          <w:tcPr>
            <w:tcW w:type="dxa" w:w="4608"/>
            <w:shd w:fill="1B3A5C" w:val="clear"/>
          </w:tcPr>
          <w:p>
            <w:pPr>
              <w:spacing w:before="80" w:after="80"/>
            </w:pPr>
            <w:r/>
            <w:r>
              <w:rPr>
                <w:rFonts w:ascii="Calibri" w:hAnsi="Calibri"/>
                <w:b/>
                <w:color w:val="FFFFFF"/>
                <w:sz w:val="20"/>
              </w:rPr>
              <w:t>What It Means</w:t>
            </w:r>
          </w:p>
        </w:tc>
        <w:tc>
          <w:tcPr>
            <w:tcW w:type="dxa" w:w="4032"/>
            <w:shd w:fill="1B3A5C" w:val="clear"/>
          </w:tcPr>
          <w:p>
            <w:pPr>
              <w:spacing w:before="80" w:after="80"/>
            </w:pPr>
            <w:r/>
            <w:r>
              <w:rPr>
                <w:rFonts w:ascii="Calibri" w:hAnsi="Calibri"/>
                <w:b/>
                <w:color w:val="FFFFFF"/>
                <w:sz w:val="20"/>
              </w:rPr>
              <w:t>Suggested Action</w:t>
            </w:r>
          </w:p>
        </w:tc>
      </w:tr>
      <w:tr>
        <w:tc>
          <w:tcPr>
            <w:tcW w:type="dxa" w:w="2160"/>
            <w:shd w:fill="F2F7FB" w:val="clear"/>
          </w:tcPr>
          <w:p>
            <w:pPr>
              <w:spacing w:before="60" w:after="60"/>
            </w:pPr>
            <w:r/>
            <w:r>
              <w:rPr>
                <w:rFonts w:ascii="Calibri" w:hAnsi="Calibri"/>
                <w:sz w:val="20"/>
              </w:rPr>
              <w:t>Green (Positive)</w:t>
            </w:r>
          </w:p>
        </w:tc>
        <w:tc>
          <w:tcPr>
            <w:tcW w:type="dxa" w:w="4608"/>
            <w:shd w:fill="F2F7FB" w:val="clear"/>
          </w:tcPr>
          <w:p>
            <w:pPr>
              <w:spacing w:before="60" w:after="60"/>
            </w:pPr>
            <w:r/>
            <w:r>
              <w:rPr>
                <w:rFonts w:ascii="Calibri" w:hAnsi="Calibri"/>
                <w:sz w:val="20"/>
              </w:rPr>
              <w:t>Behavioral execution, consistency, and controllable focus are aligned.</w:t>
            </w:r>
          </w:p>
        </w:tc>
        <w:tc>
          <w:tcPr>
            <w:tcW w:type="dxa" w:w="4032"/>
            <w:shd w:fill="F2F7FB" w:val="clear"/>
          </w:tcPr>
          <w:p>
            <w:pPr>
              <w:spacing w:before="60" w:after="60"/>
            </w:pPr>
            <w:r/>
            <w:r>
              <w:rPr>
                <w:rFonts w:ascii="Calibri" w:hAnsi="Calibri"/>
                <w:sz w:val="20"/>
              </w:rPr>
              <w:t>Reinforce what is working. No intervention needed.</w:t>
            </w:r>
          </w:p>
        </w:tc>
      </w:tr>
      <w:tr>
        <w:tc>
          <w:tcPr>
            <w:tcW w:type="dxa" w:w="2160"/>
          </w:tcPr>
          <w:p>
            <w:pPr>
              <w:spacing w:before="60" w:after="60"/>
            </w:pPr>
            <w:r/>
            <w:r>
              <w:rPr>
                <w:rFonts w:ascii="Calibri" w:hAnsi="Calibri"/>
                <w:sz w:val="20"/>
              </w:rPr>
              <w:t>Yellow (Steady)</w:t>
            </w:r>
          </w:p>
        </w:tc>
        <w:tc>
          <w:tcPr>
            <w:tcW w:type="dxa" w:w="4608"/>
          </w:tcPr>
          <w:p>
            <w:pPr>
              <w:spacing w:before="60" w:after="60"/>
            </w:pPr>
            <w:r/>
            <w:r>
              <w:rPr>
                <w:rFonts w:ascii="Calibri" w:hAnsi="Calibri"/>
                <w:sz w:val="20"/>
              </w:rPr>
              <w:t>Execution is present but with some variability or moderating factors. Most athletes are Yellow most weeks.</w:t>
            </w:r>
          </w:p>
        </w:tc>
        <w:tc>
          <w:tcPr>
            <w:tcW w:type="dxa" w:w="4032"/>
          </w:tcPr>
          <w:p>
            <w:pPr>
              <w:spacing w:before="60" w:after="60"/>
            </w:pPr>
            <w:r/>
            <w:r>
              <w:rPr>
                <w:rFonts w:ascii="Calibri" w:hAnsi="Calibri"/>
                <w:sz w:val="20"/>
              </w:rPr>
              <w:t>Stay aware. Review the Key Performance Signal for this week’s priority.</w:t>
            </w:r>
          </w:p>
        </w:tc>
      </w:tr>
      <w:tr>
        <w:tc>
          <w:tcPr>
            <w:tcW w:type="dxa" w:w="2160"/>
            <w:shd w:fill="F2F7FB" w:val="clear"/>
          </w:tcPr>
          <w:p>
            <w:pPr>
              <w:spacing w:before="60" w:after="60"/>
            </w:pPr>
            <w:r/>
            <w:r>
              <w:rPr>
                <w:rFonts w:ascii="Calibri" w:hAnsi="Calibri"/>
                <w:sz w:val="20"/>
              </w:rPr>
              <w:t>Orange (Attention)</w:t>
            </w:r>
          </w:p>
        </w:tc>
        <w:tc>
          <w:tcPr>
            <w:tcW w:type="dxa" w:w="4608"/>
            <w:shd w:fill="F2F7FB" w:val="clear"/>
          </w:tcPr>
          <w:p>
            <w:pPr>
              <w:spacing w:before="60" w:after="60"/>
            </w:pPr>
            <w:r/>
            <w:r>
              <w:rPr>
                <w:rFonts w:ascii="Calibri" w:hAnsi="Calibri"/>
                <w:sz w:val="20"/>
              </w:rPr>
              <w:t>Significant signals suggest additional coaching attention would be valuable.</w:t>
            </w:r>
          </w:p>
        </w:tc>
        <w:tc>
          <w:tcPr>
            <w:tcW w:type="dxa" w:w="4032"/>
            <w:shd w:fill="F2F7FB" w:val="clear"/>
          </w:tcPr>
          <w:p>
            <w:pPr>
              <w:spacing w:before="60" w:after="60"/>
            </w:pPr>
            <w:r/>
            <w:r>
              <w:rPr>
                <w:rFonts w:ascii="Calibri" w:hAnsi="Calibri"/>
                <w:sz w:val="20"/>
              </w:rPr>
              <w:t>Check in with the athlete. Review Coach Context Cue for reinforcement direction.</w:t>
            </w:r>
          </w:p>
        </w:tc>
      </w:tr>
    </w:tbl>
    <w:p/>
    <w:p>
      <w:pPr>
        <w:pStyle w:val="Heading2"/>
      </w:pPr>
      <w:r>
        <w:t>Key Metrics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3A5C" w:val="clear"/>
          </w:tcPr>
          <w:p>
            <w:pPr>
              <w:spacing w:before="80" w:after="80"/>
            </w:pPr>
            <w:r/>
            <w:r>
              <w:rPr>
                <w:rFonts w:ascii="Calibri" w:hAnsi="Calibri"/>
                <w:b/>
                <w:color w:val="FFFFFF"/>
                <w:sz w:val="20"/>
              </w:rPr>
              <w:t>Metric</w:t>
            </w:r>
          </w:p>
        </w:tc>
        <w:tc>
          <w:tcPr>
            <w:tcW w:type="dxa" w:w="4032"/>
            <w:shd w:fill="1B3A5C" w:val="clear"/>
          </w:tcPr>
          <w:p>
            <w:pPr>
              <w:spacing w:before="80" w:after="80"/>
            </w:pPr>
            <w:r/>
            <w:r>
              <w:rPr>
                <w:rFonts w:ascii="Calibri" w:hAnsi="Calibri"/>
                <w:b/>
                <w:color w:val="FFFFFF"/>
                <w:sz w:val="20"/>
              </w:rPr>
              <w:t>Positive Values</w:t>
            </w:r>
          </w:p>
        </w:tc>
        <w:tc>
          <w:tcPr>
            <w:tcW w:type="dxa" w:w="3888"/>
            <w:shd w:fill="1B3A5C" w:val="clear"/>
          </w:tcPr>
          <w:p>
            <w:pPr>
              <w:spacing w:before="80" w:after="80"/>
            </w:pPr>
            <w:r/>
            <w:r>
              <w:rPr>
                <w:rFonts w:ascii="Calibri" w:hAnsi="Calibri"/>
                <w:b/>
                <w:color w:val="FFFFFF"/>
                <w:sz w:val="20"/>
              </w:rPr>
              <w:t>Attention Values</w:t>
            </w:r>
          </w:p>
        </w:tc>
      </w:tr>
      <w:tr>
        <w:tc>
          <w:tcPr>
            <w:tcW w:type="dxa" w:w="2880"/>
            <w:shd w:fill="F2F7FB" w:val="clear"/>
          </w:tcPr>
          <w:p>
            <w:pPr>
              <w:spacing w:before="60" w:after="60"/>
            </w:pPr>
            <w:r/>
            <w:r>
              <w:rPr>
                <w:rFonts w:ascii="Calibri" w:hAnsi="Calibri"/>
                <w:sz w:val="20"/>
              </w:rPr>
              <w:t>Weekly Tier</w:t>
            </w:r>
          </w:p>
        </w:tc>
        <w:tc>
          <w:tcPr>
            <w:tcW w:type="dxa" w:w="4032"/>
            <w:shd w:fill="F2F7FB" w:val="clear"/>
          </w:tcPr>
          <w:p>
            <w:pPr>
              <w:spacing w:before="60" w:after="60"/>
            </w:pPr>
            <w:r/>
            <w:r>
              <w:rPr>
                <w:rFonts w:ascii="Calibri" w:hAnsi="Calibri"/>
                <w:sz w:val="20"/>
              </w:rPr>
              <w:t>Growth</w:t>
            </w:r>
          </w:p>
        </w:tc>
        <w:tc>
          <w:tcPr>
            <w:tcW w:type="dxa" w:w="3888"/>
            <w:shd w:fill="F2F7FB" w:val="clear"/>
          </w:tcPr>
          <w:p>
            <w:pPr>
              <w:spacing w:before="60" w:after="60"/>
            </w:pPr>
            <w:r/>
            <w:r>
              <w:rPr>
                <w:rFonts w:ascii="Calibri" w:hAnsi="Calibri"/>
                <w:sz w:val="20"/>
              </w:rPr>
              <w:t>Mixed, Reset</w:t>
            </w:r>
          </w:p>
        </w:tc>
      </w:tr>
      <w:tr>
        <w:tc>
          <w:tcPr>
            <w:tcW w:type="dxa" w:w="2880"/>
          </w:tcPr>
          <w:p>
            <w:pPr>
              <w:spacing w:before="60" w:after="60"/>
            </w:pPr>
            <w:r/>
            <w:r>
              <w:rPr>
                <w:rFonts w:ascii="Calibri" w:hAnsi="Calibri"/>
                <w:sz w:val="20"/>
              </w:rPr>
              <w:t>Consistency Signal</w:t>
            </w:r>
          </w:p>
        </w:tc>
        <w:tc>
          <w:tcPr>
            <w:tcW w:type="dxa" w:w="4032"/>
          </w:tcPr>
          <w:p>
            <w:pPr>
              <w:spacing w:before="60" w:after="60"/>
            </w:pPr>
            <w:r/>
            <w:r>
              <w:rPr>
                <w:rFonts w:ascii="Calibri" w:hAnsi="Calibri"/>
                <w:sz w:val="20"/>
              </w:rPr>
              <w:t>Stable, Improving</w:t>
            </w:r>
          </w:p>
        </w:tc>
        <w:tc>
          <w:tcPr>
            <w:tcW w:type="dxa" w:w="3888"/>
          </w:tcPr>
          <w:p>
            <w:pPr>
              <w:spacing w:before="60" w:after="60"/>
            </w:pPr>
            <w:r/>
            <w:r>
              <w:rPr>
                <w:rFonts w:ascii="Calibri" w:hAnsi="Calibri"/>
                <w:sz w:val="20"/>
              </w:rPr>
              <w:t>Variable</w:t>
            </w:r>
          </w:p>
        </w:tc>
      </w:tr>
      <w:tr>
        <w:tc>
          <w:tcPr>
            <w:tcW w:type="dxa" w:w="2880"/>
            <w:shd w:fill="F2F7FB" w:val="clear"/>
          </w:tcPr>
          <w:p>
            <w:pPr>
              <w:spacing w:before="60" w:after="60"/>
            </w:pPr>
            <w:r/>
            <w:r>
              <w:rPr>
                <w:rFonts w:ascii="Calibri" w:hAnsi="Calibri"/>
                <w:sz w:val="20"/>
              </w:rPr>
              <w:t>Focus Distribution</w:t>
            </w:r>
          </w:p>
        </w:tc>
        <w:tc>
          <w:tcPr>
            <w:tcW w:type="dxa" w:w="4032"/>
            <w:shd w:fill="F2F7FB" w:val="clear"/>
          </w:tcPr>
          <w:p>
            <w:pPr>
              <w:spacing w:before="60" w:after="60"/>
            </w:pPr>
            <w:r/>
            <w:r>
              <w:rPr>
                <w:rFonts w:ascii="Calibri" w:hAnsi="Calibri"/>
                <w:sz w:val="20"/>
              </w:rPr>
              <w:t>Center-Dominant</w:t>
            </w:r>
          </w:p>
        </w:tc>
        <w:tc>
          <w:tcPr>
            <w:tcW w:type="dxa" w:w="3888"/>
            <w:shd w:fill="F2F7FB" w:val="clear"/>
          </w:tcPr>
          <w:p>
            <w:pPr>
              <w:spacing w:before="60" w:after="60"/>
            </w:pPr>
            <w:r/>
            <w:r>
              <w:rPr>
                <w:rFonts w:ascii="Calibri" w:hAnsi="Calibri"/>
                <w:sz w:val="20"/>
              </w:rPr>
              <w:t>Outer-Ring Drift Detected</w:t>
            </w:r>
          </w:p>
        </w:tc>
      </w:tr>
      <w:tr>
        <w:tc>
          <w:tcPr>
            <w:tcW w:type="dxa" w:w="2880"/>
          </w:tcPr>
          <w:p>
            <w:pPr>
              <w:spacing w:before="60" w:after="60"/>
            </w:pPr>
            <w:r/>
            <w:r>
              <w:rPr>
                <w:rFonts w:ascii="Calibri" w:hAnsi="Calibri"/>
                <w:sz w:val="20"/>
              </w:rPr>
              <w:t>Recommitment Strength</w:t>
            </w:r>
          </w:p>
        </w:tc>
        <w:tc>
          <w:tcPr>
            <w:tcW w:type="dxa" w:w="4032"/>
          </w:tcPr>
          <w:p>
            <w:pPr>
              <w:spacing w:before="60" w:after="60"/>
            </w:pPr>
            <w:r/>
            <w:r>
              <w:rPr>
                <w:rFonts w:ascii="Calibri" w:hAnsi="Calibri"/>
                <w:sz w:val="20"/>
              </w:rPr>
              <w:t>Strong, Not Applicable</w:t>
            </w:r>
          </w:p>
        </w:tc>
        <w:tc>
          <w:tcPr>
            <w:tcW w:type="dxa" w:w="3888"/>
          </w:tcPr>
          <w:p>
            <w:pPr>
              <w:spacing w:before="60" w:after="60"/>
            </w:pPr>
            <w:r/>
            <w:r>
              <w:rPr>
                <w:rFonts w:ascii="Calibri" w:hAnsi="Calibri"/>
                <w:sz w:val="20"/>
              </w:rPr>
              <w:t>Low</w:t>
            </w:r>
          </w:p>
        </w:tc>
      </w:tr>
      <w:tr>
        <w:tc>
          <w:tcPr>
            <w:tcW w:type="dxa" w:w="2880"/>
            <w:shd w:fill="F2F7FB" w:val="clear"/>
          </w:tcPr>
          <w:p>
            <w:pPr>
              <w:spacing w:before="60" w:after="60"/>
            </w:pPr>
            <w:r/>
            <w:r>
              <w:rPr>
                <w:rFonts w:ascii="Calibri" w:hAnsi="Calibri"/>
                <w:sz w:val="20"/>
              </w:rPr>
              <w:t>Confidence Momentum</w:t>
            </w:r>
          </w:p>
        </w:tc>
        <w:tc>
          <w:tcPr>
            <w:tcW w:type="dxa" w:w="4032"/>
            <w:shd w:fill="F2F7FB" w:val="clear"/>
          </w:tcPr>
          <w:p>
            <w:pPr>
              <w:spacing w:before="60" w:after="60"/>
            </w:pPr>
            <w:r/>
            <w:r>
              <w:rPr>
                <w:rFonts w:ascii="Calibri" w:hAnsi="Calibri"/>
                <w:sz w:val="20"/>
              </w:rPr>
              <w:t>Building</w:t>
            </w:r>
          </w:p>
        </w:tc>
        <w:tc>
          <w:tcPr>
            <w:tcW w:type="dxa" w:w="3888"/>
            <w:shd w:fill="F2F7FB" w:val="clear"/>
          </w:tcPr>
          <w:p>
            <w:pPr>
              <w:spacing w:before="60" w:after="60"/>
            </w:pPr>
            <w:r/>
            <w:r>
              <w:rPr>
                <w:rFonts w:ascii="Calibri" w:hAnsi="Calibri"/>
                <w:sz w:val="20"/>
              </w:rPr>
              <w:t>Variable</w:t>
            </w:r>
          </w:p>
        </w:tc>
      </w:tr>
      <w:tr>
        <w:tc>
          <w:tcPr>
            <w:tcW w:type="dxa" w:w="2880"/>
          </w:tcPr>
          <w:p>
            <w:pPr>
              <w:spacing w:before="60" w:after="60"/>
            </w:pPr>
            <w:r/>
            <w:r>
              <w:rPr>
                <w:rFonts w:ascii="Calibri" w:hAnsi="Calibri"/>
                <w:sz w:val="20"/>
              </w:rPr>
              <w:t>Stress Load</w:t>
            </w:r>
          </w:p>
        </w:tc>
        <w:tc>
          <w:tcPr>
            <w:tcW w:type="dxa" w:w="4032"/>
          </w:tcPr>
          <w:p>
            <w:pPr>
              <w:spacing w:before="60" w:after="60"/>
            </w:pPr>
            <w:r/>
            <w:r>
              <w:rPr>
                <w:rFonts w:ascii="Calibri" w:hAnsi="Calibri"/>
                <w:sz w:val="20"/>
              </w:rPr>
              <w:t>Low</w:t>
            </w:r>
          </w:p>
        </w:tc>
        <w:tc>
          <w:tcPr>
            <w:tcW w:type="dxa" w:w="3888"/>
          </w:tcPr>
          <w:p>
            <w:pPr>
              <w:spacing w:before="60" w:after="60"/>
            </w:pPr>
            <w:r/>
            <w:r>
              <w:rPr>
                <w:rFonts w:ascii="Calibri" w:hAnsi="Calibri"/>
                <w:sz w:val="20"/>
              </w:rPr>
              <w:t>Elevated</w:t>
            </w:r>
          </w:p>
        </w:tc>
      </w:tr>
      <w:tr>
        <w:tc>
          <w:tcPr>
            <w:tcW w:type="dxa" w:w="2880"/>
            <w:shd w:fill="F2F7FB" w:val="clear"/>
          </w:tcPr>
          <w:p>
            <w:pPr>
              <w:spacing w:before="60" w:after="60"/>
            </w:pPr>
            <w:r/>
            <w:r>
              <w:rPr>
                <w:rFonts w:ascii="Calibri" w:hAnsi="Calibri"/>
                <w:sz w:val="20"/>
              </w:rPr>
              <w:t>Growth Phase Movement</w:t>
            </w:r>
          </w:p>
        </w:tc>
        <w:tc>
          <w:tcPr>
            <w:tcW w:type="dxa" w:w="4032"/>
            <w:shd w:fill="F2F7FB" w:val="clear"/>
          </w:tcPr>
          <w:p>
            <w:pPr>
              <w:spacing w:before="60" w:after="60"/>
            </w:pPr>
            <w:r/>
            <w:r>
              <w:rPr>
                <w:rFonts w:ascii="Calibri" w:hAnsi="Calibri"/>
                <w:sz w:val="20"/>
              </w:rPr>
              <w:t>Advancing</w:t>
            </w:r>
          </w:p>
        </w:tc>
        <w:tc>
          <w:tcPr>
            <w:tcW w:type="dxa" w:w="3888"/>
            <w:shd w:fill="F2F7FB" w:val="clear"/>
          </w:tcPr>
          <w:p>
            <w:pPr>
              <w:spacing w:before="60" w:after="60"/>
            </w:pPr>
            <w:r/>
            <w:r>
              <w:rPr>
                <w:rFonts w:ascii="Calibri" w:hAnsi="Calibri"/>
                <w:sz w:val="20"/>
              </w:rPr>
              <w:t>Regressing</w:t>
            </w:r>
          </w:p>
        </w:tc>
      </w:tr>
    </w:tbl>
    <w:p/>
    <w:p>
      <w:pPr>
        <w:pStyle w:val="Heading2"/>
      </w:pPr>
      <w:r>
        <w:t>Common Coaching Actions by Dashboard Signal</w:t>
      </w:r>
    </w:p>
    <w:tbl>
      <w:tblPr>
        <w:tblStyle w:val="TableGrid"/>
        <w:tblW w:type="auto" w:w="0"/>
        <w:jc w:val="center"/>
        <w:tblLook w:firstColumn="1" w:firstRow="1" w:lastColumn="0" w:lastRow="0" w:noHBand="0" w:noVBand="1" w:val="04A0"/>
      </w:tblPr>
      <w:tblGrid>
        <w:gridCol w:w="4680"/>
        <w:gridCol w:w="4680"/>
      </w:tblGrid>
      <w:tr>
        <w:tc>
          <w:tcPr>
            <w:tcW w:type="dxa" w:w="3600"/>
            <w:shd w:fill="1B3A5C" w:val="clear"/>
          </w:tcPr>
          <w:p>
            <w:pPr>
              <w:spacing w:before="80" w:after="80"/>
            </w:pPr>
            <w:r/>
            <w:r>
              <w:rPr>
                <w:rFonts w:ascii="Calibri" w:hAnsi="Calibri"/>
                <w:b/>
                <w:color w:val="FFFFFF"/>
                <w:sz w:val="20"/>
              </w:rPr>
              <w:t>Dashboard Signal</w:t>
            </w:r>
          </w:p>
        </w:tc>
        <w:tc>
          <w:tcPr>
            <w:tcW w:type="dxa" w:w="7200"/>
            <w:shd w:fill="1B3A5C" w:val="clear"/>
          </w:tcPr>
          <w:p>
            <w:pPr>
              <w:spacing w:before="80" w:after="80"/>
            </w:pPr>
            <w:r/>
            <w:r>
              <w:rPr>
                <w:rFonts w:ascii="Calibri" w:hAnsi="Calibri"/>
                <w:b/>
                <w:color w:val="FFFFFF"/>
                <w:sz w:val="20"/>
              </w:rPr>
              <w:t>Coaching Response</w:t>
            </w:r>
          </w:p>
        </w:tc>
      </w:tr>
      <w:tr>
        <w:tc>
          <w:tcPr>
            <w:tcW w:type="dxa" w:w="3600"/>
            <w:shd w:fill="F2F7FB" w:val="clear"/>
          </w:tcPr>
          <w:p>
            <w:pPr>
              <w:spacing w:before="60" w:after="60"/>
            </w:pPr>
            <w:r/>
            <w:r>
              <w:rPr>
                <w:rFonts w:ascii="Calibri" w:hAnsi="Calibri"/>
                <w:sz w:val="20"/>
              </w:rPr>
              <w:t>Green readiness + Growth tier</w:t>
            </w:r>
          </w:p>
        </w:tc>
        <w:tc>
          <w:tcPr>
            <w:tcW w:type="dxa" w:w="7200"/>
            <w:shd w:fill="F2F7FB" w:val="clear"/>
          </w:tcPr>
          <w:p>
            <w:pPr>
              <w:spacing w:before="60" w:after="60"/>
            </w:pPr>
            <w:r/>
            <w:r>
              <w:rPr>
                <w:rFonts w:ascii="Calibri" w:hAnsi="Calibri"/>
                <w:sz w:val="20"/>
              </w:rPr>
              <w:t>Acknowledge the work. Reinforce preparation habits. No conversation needed unless you choose to have one.</w:t>
            </w:r>
          </w:p>
        </w:tc>
      </w:tr>
      <w:tr>
        <w:tc>
          <w:tcPr>
            <w:tcW w:type="dxa" w:w="3600"/>
          </w:tcPr>
          <w:p>
            <w:pPr>
              <w:spacing w:before="60" w:after="60"/>
            </w:pPr>
            <w:r/>
            <w:r>
              <w:rPr>
                <w:rFonts w:ascii="Calibri" w:hAnsi="Calibri"/>
                <w:sz w:val="20"/>
              </w:rPr>
              <w:t>Yellow readiness + Variable consistency</w:t>
            </w:r>
          </w:p>
        </w:tc>
        <w:tc>
          <w:tcPr>
            <w:tcW w:type="dxa" w:w="7200"/>
          </w:tcPr>
          <w:p>
            <w:pPr>
              <w:spacing w:before="60" w:after="60"/>
            </w:pPr>
            <w:r/>
            <w:r>
              <w:rPr>
                <w:rFonts w:ascii="Calibri" w:hAnsi="Calibri"/>
                <w:sz w:val="20"/>
              </w:rPr>
              <w:t>Brief check-in. Review the Key Performance Signal — it will name the specific area to reinforce.</w:t>
            </w:r>
          </w:p>
        </w:tc>
      </w:tr>
      <w:tr>
        <w:tc>
          <w:tcPr>
            <w:tcW w:type="dxa" w:w="3600"/>
            <w:shd w:fill="F2F7FB" w:val="clear"/>
          </w:tcPr>
          <w:p>
            <w:pPr>
              <w:spacing w:before="60" w:after="60"/>
            </w:pPr>
            <w:r/>
            <w:r>
              <w:rPr>
                <w:rFonts w:ascii="Calibri" w:hAnsi="Calibri"/>
                <w:sz w:val="20"/>
              </w:rPr>
              <w:t>Yellow readiness + Elevated stress</w:t>
            </w:r>
          </w:p>
        </w:tc>
        <w:tc>
          <w:tcPr>
            <w:tcW w:type="dxa" w:w="7200"/>
            <w:shd w:fill="F2F7FB" w:val="clear"/>
          </w:tcPr>
          <w:p>
            <w:pPr>
              <w:spacing w:before="60" w:after="60"/>
            </w:pPr>
            <w:r/>
            <w:r>
              <w:rPr>
                <w:rFonts w:ascii="Calibri" w:hAnsi="Calibri"/>
                <w:sz w:val="20"/>
              </w:rPr>
              <w:t>The athlete is managing stress but it is visible in the signals. Reinforce controllable routines. Do not ask about the source of stress — the system does not tell you what it is for a reason.</w:t>
            </w:r>
          </w:p>
        </w:tc>
      </w:tr>
      <w:tr>
        <w:tc>
          <w:tcPr>
            <w:tcW w:type="dxa" w:w="3600"/>
          </w:tcPr>
          <w:p>
            <w:pPr>
              <w:spacing w:before="60" w:after="60"/>
            </w:pPr>
            <w:r/>
            <w:r>
              <w:rPr>
                <w:rFonts w:ascii="Calibri" w:hAnsi="Calibri"/>
                <w:sz w:val="20"/>
              </w:rPr>
              <w:t>Orange readiness</w:t>
            </w:r>
          </w:p>
        </w:tc>
        <w:tc>
          <w:tcPr>
            <w:tcW w:type="dxa" w:w="7200"/>
          </w:tcPr>
          <w:p>
            <w:pPr>
              <w:spacing w:before="60" w:after="60"/>
            </w:pPr>
            <w:r/>
            <w:r>
              <w:rPr>
                <w:rFonts w:ascii="Calibri" w:hAnsi="Calibri"/>
                <w:sz w:val="20"/>
              </w:rPr>
              <w:t>Prioritize a conversation. Use the Coach Context Cue as a starting point. Focus on reinforcing structure, controllable behaviors, and the athlete’s demonstrated strengths.</w:t>
            </w:r>
          </w:p>
        </w:tc>
      </w:tr>
      <w:tr>
        <w:tc>
          <w:tcPr>
            <w:tcW w:type="dxa" w:w="3600"/>
            <w:shd w:fill="F2F7FB" w:val="clear"/>
          </w:tcPr>
          <w:p>
            <w:pPr>
              <w:spacing w:before="60" w:after="60"/>
            </w:pPr>
            <w:r/>
            <w:r>
              <w:rPr>
                <w:rFonts w:ascii="Calibri" w:hAnsi="Calibri"/>
                <w:sz w:val="20"/>
              </w:rPr>
              <w:t>Outer-Ring Drift Detected</w:t>
            </w:r>
          </w:p>
        </w:tc>
        <w:tc>
          <w:tcPr>
            <w:tcW w:type="dxa" w:w="7200"/>
            <w:shd w:fill="F2F7FB" w:val="clear"/>
          </w:tcPr>
          <w:p>
            <w:pPr>
              <w:spacing w:before="60" w:after="60"/>
            </w:pPr>
            <w:r/>
            <w:r>
              <w:rPr>
                <w:rFonts w:ascii="Calibri" w:hAnsi="Calibri"/>
                <w:sz w:val="20"/>
              </w:rPr>
              <w:t>The athlete’s attention is shifting to things outside their control. Reinforce effort, preparation, and response — the controllable elements.</w:t>
            </w:r>
          </w:p>
        </w:tc>
      </w:tr>
      <w:tr>
        <w:tc>
          <w:tcPr>
            <w:tcW w:type="dxa" w:w="3600"/>
          </w:tcPr>
          <w:p>
            <w:pPr>
              <w:spacing w:before="60" w:after="60"/>
            </w:pPr>
            <w:r/>
            <w:r>
              <w:rPr>
                <w:rFonts w:ascii="Calibri" w:hAnsi="Calibri"/>
                <w:sz w:val="20"/>
              </w:rPr>
              <w:t>Stagnant consistency trend</w:t>
            </w:r>
          </w:p>
        </w:tc>
        <w:tc>
          <w:tcPr>
            <w:tcW w:type="dxa" w:w="7200"/>
          </w:tcPr>
          <w:p>
            <w:pPr>
              <w:spacing w:before="60" w:after="60"/>
            </w:pPr>
            <w:r/>
            <w:r>
              <w:rPr>
                <w:rFonts w:ascii="Calibri" w:hAnsi="Calibri"/>
                <w:sz w:val="20"/>
              </w:rPr>
              <w:t>The athlete is stuck in the same pattern week over week. The Key Performance Signal will name the specific structural gap. Consider whether the athlete’s environment needs adjustment.</w:t>
            </w:r>
          </w:p>
        </w:tc>
      </w:tr>
      <w:tr>
        <w:tc>
          <w:tcPr>
            <w:tcW w:type="dxa" w:w="3600"/>
            <w:shd w:fill="F2F7FB" w:val="clear"/>
          </w:tcPr>
          <w:p>
            <w:pPr>
              <w:spacing w:before="60" w:after="60"/>
            </w:pPr>
            <w:r/>
            <w:r>
              <w:rPr>
                <w:rFonts w:ascii="Calibri" w:hAnsi="Calibri"/>
                <w:sz w:val="20"/>
              </w:rPr>
              <w:t>Growth Phase Advancement</w:t>
            </w:r>
          </w:p>
        </w:tc>
        <w:tc>
          <w:tcPr>
            <w:tcW w:type="dxa" w:w="7200"/>
            <w:shd w:fill="F2F7FB" w:val="clear"/>
          </w:tcPr>
          <w:p>
            <w:pPr>
              <w:spacing w:before="60" w:after="60"/>
            </w:pPr>
            <w:r/>
            <w:r>
              <w:rPr>
                <w:rFonts w:ascii="Calibri" w:hAnsi="Calibri"/>
                <w:sz w:val="20"/>
              </w:rPr>
              <w:t>A significant milestone. The athlete’s behavioral patterns have stabilized at a higher level. Acknowledge the progress.</w:t>
            </w:r>
          </w:p>
        </w:tc>
      </w:tr>
    </w:tbl>
    <w:p>
      <w:pPr>
        <w:spacing w:before="120" w:after="120"/>
        <w:pBdr>
          <w:bottom w:val="single" w:sz="4" w:space="1" w:color="CCCCCC"/>
        </w:pBdr>
      </w:pPr>
    </w:p>
    <w:p>
      <w:pPr>
        <w:pStyle w:val="Heading1"/>
      </w:pPr>
      <w:r>
        <w:t>Summary</w:t>
      </w:r>
    </w:p>
    <w:p>
      <w:r>
        <w:t>The VirtusFocus Coach Insights Dashboard gives your coaching staff structured weekly intelligence on every athlete’s behavioral execution, consistency, focus, confidence, stress, and developmental growth — delivered in a format that is safe, compliant, and actionable at every level of your organization.</w:t>
      </w:r>
    </w:p>
    <w:p>
      <w:r>
        <w:rPr>
          <w:b/>
          <w:color w:val="1B3A5C"/>
          <w:sz w:val="24"/>
        </w:rPr>
        <w:t>It does not replace your coaching judgment. It sharpens it.</w:t>
      </w:r>
    </w:p>
    <w:p>
      <w:r>
        <w:t>Your athletes do the daily work of building their mindset. The system translates that work into performance signals you can see. You decide what to do with those signals.</w:t>
      </w:r>
    </w:p>
    <w:p/>
    <w:p>
      <w:pPr>
        <w:jc w:val="center"/>
      </w:pPr>
      <w:r>
        <w:rPr>
          <w:i/>
          <w:color w:val="666666"/>
        </w:rPr>
        <w:t>For questions about dashboard setup, athlete onboarding, or program implementation,</w:t>
        <w:br/>
        <w:t>contact your VirtusFocus representative.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