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PRINTER INSTRUCTIONS</w:t>
      </w:r>
    </w:p>
    <w:p>
      <w:r>
        <w:t>"VirtusFocus" Focus Group, May 9, 2026</w:t>
      </w:r>
    </w:p>
    <w:p>
      <w:pPr>
        <w:spacing w:before="0" w:after="120"/>
        <w:pBdr>
          <w:bottom w:val="single" w:sz="6" w:space="1" w:color="808080"/>
        </w:pBdr>
      </w:pPr>
    </w:p>
    <w:p>
      <w:pPr>
        <w:pStyle w:val="Heading2"/>
      </w:pPr>
      <w:r>
        <w:t>OVERVIEW</w:t>
      </w:r>
    </w:p>
    <w:p>
      <w:r>
        <w:t>Three PDF files, one per attendee segment, in this folder.</w:t>
      </w:r>
    </w:p>
    <w:p>
      <w:r>
        <w:rPr>
          <w:b/>
        </w:rPr>
        <w:t xml:space="preserve">Total print run: </w:t>
      </w:r>
      <w:r>
        <w:t>14 attendee packets, 394 total pages.</w:t>
      </w:r>
    </w:p>
    <w:p>
      <w:r>
        <w:t>Each segment has its own segment color (deep blue, forest green, amber) used on the artifact packet cover page to enable visual sorting during the focus group breakout.</w:t>
      </w:r>
    </w:p>
    <w:p>
      <w:pPr>
        <w:pStyle w:val="Heading2"/>
      </w:pPr>
      <w:r>
        <w:t>== INSTITUTIONAL PACKET ==</w:t>
      </w:r>
    </w:p>
    <w:p>
      <w:r>
        <w:rPr>
          <w:b/>
        </w:rPr>
        <w:t xml:space="preserve">File: </w:t>
      </w:r>
      <w:r>
        <w:t>Institutional_Packet.pdf Total pages:         25 Quantity needed:     6 copies Cover stock pages:   Page 8 (1 page on segment-colored cover stock) Cover stock color:   Deep blue (corporate / institutional tone) Cover stock weight:  60-80 lb Body paper:          Standard 20-24 lb white Color printing:      Required for entire packet Binding:             Stapled top-left corner OR paperclip</w:t>
      </w:r>
    </w:p>
    <w:p>
      <w:pPr>
        <w:pStyle w:val="Heading2"/>
      </w:pPr>
      <w:r>
        <w:t>== D2C / ATHLETE PACKET ==</w:t>
      </w:r>
    </w:p>
    <w:p>
      <w:r>
        <w:rPr>
          <w:b/>
        </w:rPr>
        <w:t xml:space="preserve">File: </w:t>
      </w:r>
      <w:r>
        <w:t>D2C_Athlete_Packet.pdf Total pages:         26 Quantity needed:     4 copies Cover stock pages:   Page 8 (1 page on segment-colored cover stock) Cover stock color:   Forest green (athletic / growth tone) Cover stock weight:  60-80 lb Body paper:          Standard 20-24 lb white Color printing:      Required for entire packet Binding:             Stapled top-left corner OR paperclip</w:t>
      </w:r>
    </w:p>
    <w:p>
      <w:pPr>
        <w:pStyle w:val="Heading2"/>
      </w:pPr>
      <w:r>
        <w:t>== GTM PACKET ==</w:t>
      </w:r>
    </w:p>
    <w:p>
      <w:r>
        <w:rPr>
          <w:b/>
        </w:rPr>
        <w:t xml:space="preserve">File: </w:t>
      </w:r>
      <w:r>
        <w:t>GTM_Packet.pdf Total pages:         35 Quantity needed:     4 copies Cover stock pages:   Page 8 (1 page on segment-colored cover stock) Cover stock color:   Amber / burnt orange (strategy / commerce tone) Cover stock weight:  60-80 lb Body paper:          Standard 20-24 lb white Color printing:      Required for entire packet Binding:             Stapled top-left corner OR paperclip</w:t>
      </w:r>
    </w:p>
    <w:p>
      <w:pPr>
        <w:pStyle w:val="Heading2"/>
      </w:pPr>
      <w:r>
        <w:t>NOTES ON COVER STOCK</w:t>
      </w:r>
    </w:p>
    <w:p>
      <w:r>
        <w:t>Cover stock pages are the artifact packet cover pages within each combined packet. They are intended to print on segment- colored cover stock to provide a visual divider between the worksheet and the artifact contents, and to support at-a- glance segment sorting during the breakout transition.</w:t>
      </w:r>
    </w:p>
    <w:p>
      <w:r>
        <w:t>Worksheet pages (pages 1 through 7 of each packet) print on standard white paper. The worksheet design has segment-colored header bands baked into the layout, so colored paper stock is not required for those pages.</w:t>
      </w:r>
    </w:p>
    <w:p>
      <w:r>
        <w:t>All artifact pages after the cover (athlete snapshots, coaching messages, deep dives, coach insights, parent materials, team snapshot, mockup printouts) print on standard white paper.</w:t>
      </w:r>
    </w:p>
    <w:p>
      <w:pPr>
        <w:pStyle w:val="Heading2"/>
      </w:pPr>
      <w:r>
        <w:t>COLOR REQUIREMENTS</w:t>
      </w:r>
    </w:p>
    <w:p>
      <w:r>
        <w:t>Color printing is required for the entire packet. Several pages contain colored elements that lose meaning if printed in grayscale: gradient progression bars on the athlete progression visuals, amber-bordered callout boxes on coaching message cards, traffic-light color bands on the team snapshot, and header bands on every worksheet page. Standard CMYK four- color process is sufficient.</w:t>
      </w:r>
    </w:p>
    <w:p>
      <w:pPr>
        <w:pStyle w:val="Heading2"/>
      </w:pPr>
      <w:r>
        <w:t>CONFIDENTIALITY</w:t>
      </w:r>
    </w:p>
    <w:p>
      <w:r>
        <w:t>All material is confidential under NDA. Please do not retain digital file copies or sample prints after delivery. Contact Arron Panigall if any pages render unclearly or any colored elements look off before running the full print job.</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