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7.png" ContentType="image/png"/>
  <Override PartName="/word/media/rId43.png" ContentType="image/png"/>
  <Override PartName="/word/media/rId39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Организация стека</w:t>
      </w:r>
      <w:r>
        <w:t xml:space="preserve"> </w:t>
      </w: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rPr>
          <w:b/>
          <w:bCs/>
        </w:rPr>
        <w:t xml:space="preserve">Добавление элемента в стек</w:t>
      </w:r>
      <w:r>
        <w:t xml:space="preserve"> </w:t>
      </w: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rPr>
          <w:b/>
          <w:bCs/>
        </w:rPr>
        <w:t xml:space="preserve">Извлечение элемента из стека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“мусор”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pop eax ; Поместить значение из стека в регистр eax</w:t>
      </w:r>
      <w:r>
        <w:t xml:space="preserve"> </w:t>
      </w:r>
      <w:r>
        <w:t xml:space="preserve">pop [buf] ; Поместить значение из стека в buf</w:t>
      </w:r>
      <w:r>
        <w:t xml:space="preserve"> </w:t>
      </w:r>
      <w:r>
        <w:t xml:space="preserve">pop word[si] ; Поместить значение из стека в слово по адресу в si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rPr>
          <w:b/>
          <w:bCs/>
        </w:rPr>
        <w:t xml:space="preserve">Инструкции организации циклов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  <w:r>
        <w:t xml:space="preserve"> </w:t>
      </w:r>
      <w:r>
        <w:t xml:space="preserve">mov ecx, 100 ; Количество проходов</w:t>
      </w:r>
      <w:r>
        <w:t xml:space="preserve"> </w:t>
      </w:r>
      <w:r>
        <w:t xml:space="preserve">NextStep:</w:t>
      </w:r>
      <w:r>
        <w:t xml:space="preserve"> </w:t>
      </w:r>
      <w:r>
        <w:t xml:space="preserve">…</w:t>
      </w:r>
      <w:r>
        <w:t xml:space="preserve"> </w:t>
      </w:r>
      <w:r>
        <w:t xml:space="preserve">… ; тело цикла</w:t>
      </w:r>
      <w:r>
        <w:t xml:space="preserve"> </w:t>
      </w:r>
      <w:r>
        <w:t xml:space="preserve">…</w:t>
      </w:r>
      <w:r>
        <w:t xml:space="preserve"> </w:t>
      </w: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lab08 и файл lab8-1.asm .(рис. 1).</w:t>
      </w:r>
    </w:p>
    <w:bookmarkStart w:id="26" w:name="fig:001"/>
    <w:p>
      <w:pPr>
        <w:pStyle w:val="CaptionedFigure"/>
      </w:pPr>
      <w:r>
        <w:drawing>
          <wp:inline>
            <wp:extent cx="4267200" cy="885524"/>
            <wp:effectExtent b="0" l="0" r="0" t="0"/>
            <wp:docPr descr="Рис. 1: lab08/lab8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30-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lab08/lab8-1.asm</w:t>
      </w:r>
    </w:p>
    <w:bookmarkEnd w:id="26"/>
    <w:p>
      <w:pPr>
        <w:pStyle w:val="BodyText"/>
      </w:pPr>
      <w:r>
        <w:t xml:space="preserve">Ввожу туда текст команды 8.1. Программа вывода значений регистра ecx. (рис. 2).</w:t>
      </w:r>
    </w:p>
    <w:bookmarkStart w:id="30" w:name="fig:002"/>
    <w:p>
      <w:pPr>
        <w:pStyle w:val="CaptionedFigure"/>
      </w:pPr>
      <w:r>
        <w:drawing>
          <wp:inline>
            <wp:extent cx="4267200" cy="3173046"/>
            <wp:effectExtent b="0" l="0" r="0" t="0"/>
            <wp:docPr descr="Рис. 2: 8.1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34-3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8.1</w:t>
      </w:r>
    </w:p>
    <w:bookmarkEnd w:id="30"/>
    <w:p>
      <w:pPr>
        <w:pStyle w:val="BodyText"/>
      </w:pPr>
      <w:r>
        <w:t xml:space="preserve">Компеллирую и запускаю команду 8.1. (рис. 3).</w:t>
      </w:r>
    </w:p>
    <w:bookmarkStart w:id="34" w:name="fig:003"/>
    <w:p>
      <w:pPr>
        <w:pStyle w:val="CaptionedFigure"/>
      </w:pPr>
      <w:r>
        <w:drawing>
          <wp:inline>
            <wp:extent cx="4267200" cy="2008471"/>
            <wp:effectExtent b="0" l="0" r="0" t="0"/>
            <wp:docPr descr="Рис. 3: ./lab8-1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37-2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./lab8-1</w:t>
      </w:r>
    </w:p>
    <w:bookmarkEnd w:id="34"/>
    <w:p>
      <w:pPr>
        <w:pStyle w:val="BodyText"/>
      </w:pPr>
      <w:r>
        <w:t xml:space="preserve">Меняю текст программы, в теле label добавляю строку sub eax,1. Циклы закольцевался и стал бесконечным. (рис. 4), (рис. 5).</w:t>
      </w:r>
    </w:p>
    <w:bookmarkStart w:id="38" w:name="fig:004"/>
    <w:p>
      <w:pPr>
        <w:pStyle w:val="CaptionedFigure"/>
      </w:pPr>
      <w:r>
        <w:drawing>
          <wp:inline>
            <wp:extent cx="4267200" cy="3163279"/>
            <wp:effectExtent b="0" l="0" r="0" t="0"/>
            <wp:docPr descr="Рис. 4: 8.1v2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39-1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6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8.1v2</w:t>
      </w:r>
    </w:p>
    <w:bookmarkEnd w:id="38"/>
    <w:bookmarkStart w:id="42" w:name="fig:005"/>
    <w:p>
      <w:pPr>
        <w:pStyle w:val="CaptionedFigure"/>
      </w:pPr>
      <w:r>
        <w:drawing>
          <wp:inline>
            <wp:extent cx="4267200" cy="3147301"/>
            <wp:effectExtent b="0" l="0" r="0" t="0"/>
            <wp:docPr descr="Рис. 5: ./8.1v2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57-3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./8.1v2</w:t>
      </w:r>
    </w:p>
    <w:bookmarkEnd w:id="42"/>
    <w:p>
      <w:pPr>
        <w:pStyle w:val="BodyText"/>
      </w:pPr>
      <w:r>
        <w:t xml:space="preserve">Меняю текст программы так, чтобы цикл и счетчик работали корректно. (рис. 6).</w:t>
      </w:r>
    </w:p>
    <w:bookmarkStart w:id="46" w:name="fig:006"/>
    <w:p>
      <w:pPr>
        <w:pStyle w:val="CaptionedFigure"/>
      </w:pPr>
      <w:r>
        <w:drawing>
          <wp:inline>
            <wp:extent cx="4267200" cy="3147301"/>
            <wp:effectExtent b="0" l="0" r="0" t="0"/>
            <wp:docPr descr="Рис. 6: 8.1v3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48-5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8.1v3</w:t>
      </w:r>
    </w:p>
    <w:bookmarkEnd w:id="46"/>
    <w:p>
      <w:pPr>
        <w:pStyle w:val="BodyText"/>
      </w:pPr>
      <w:r>
        <w:t xml:space="preserve">После изменения программы, число проходки циклов стал соответствовать числу введенному с клавиатуры. (рис. 7).</w:t>
      </w:r>
    </w:p>
    <w:bookmarkStart w:id="50" w:name="fig:007"/>
    <w:p>
      <w:pPr>
        <w:pStyle w:val="CaptionedFigure"/>
      </w:pPr>
      <w:r>
        <w:drawing>
          <wp:inline>
            <wp:extent cx="4267200" cy="3147301"/>
            <wp:effectExtent b="0" l="0" r="0" t="0"/>
            <wp:docPr descr="Рис. 7: ./8.1v3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4-47-5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./8.1v3</w:t>
      </w:r>
    </w:p>
    <w:bookmarkEnd w:id="50"/>
    <w:p>
      <w:pPr>
        <w:pStyle w:val="BodyText"/>
      </w:pPr>
      <w:r>
        <w:t xml:space="preserve">Создаю lab8-2.asm и ввожу туда текст команды 8.2. Программа выводящая на экран аргументы командной строки. (рис. 8).</w:t>
      </w:r>
    </w:p>
    <w:bookmarkStart w:id="54" w:name="fig:008"/>
    <w:p>
      <w:pPr>
        <w:pStyle w:val="CaptionedFigure"/>
      </w:pPr>
      <w:r>
        <w:drawing>
          <wp:inline>
            <wp:extent cx="4267200" cy="3147301"/>
            <wp:effectExtent b="0" l="0" r="0" t="0"/>
            <wp:docPr descr="Рис. 8: 8.2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0-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8.2</w:t>
      </w:r>
    </w:p>
    <w:bookmarkEnd w:id="54"/>
    <w:p>
      <w:pPr>
        <w:pStyle w:val="BodyText"/>
      </w:pPr>
      <w:r>
        <w:t xml:space="preserve">При запуске программа выводит все 3 аргумента которые ввели, но в разном виде. (рис. 9).</w:t>
      </w:r>
    </w:p>
    <w:bookmarkStart w:id="58" w:name="fig:009"/>
    <w:p>
      <w:pPr>
        <w:pStyle w:val="CaptionedFigure"/>
      </w:pPr>
      <w:r>
        <w:drawing>
          <wp:inline>
            <wp:extent cx="4267200" cy="2671022"/>
            <wp:effectExtent b="0" l="0" r="0" t="0"/>
            <wp:docPr descr="Рис. 9: ./8.2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0-2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./8.2</w:t>
      </w:r>
    </w:p>
    <w:bookmarkEnd w:id="58"/>
    <w:p>
      <w:pPr>
        <w:pStyle w:val="BodyText"/>
      </w:pPr>
      <w:r>
        <w:t xml:space="preserve">Создаю lab8-3.asm и ввожу туда текст команды 8.3. gрограмма вычисления суммы аргументов командной строки. (рис. 10).</w:t>
      </w:r>
    </w:p>
    <w:bookmarkStart w:id="62" w:name="fig:010"/>
    <w:p>
      <w:pPr>
        <w:pStyle w:val="CaptionedFigure"/>
      </w:pPr>
      <w:r>
        <w:drawing>
          <wp:inline>
            <wp:extent cx="4267200" cy="3153737"/>
            <wp:effectExtent b="0" l="0" r="0" t="0"/>
            <wp:docPr descr="Рис. 10: 8.3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3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8.3</w:t>
      </w:r>
    </w:p>
    <w:bookmarkEnd w:id="62"/>
    <w:p>
      <w:pPr>
        <w:pStyle w:val="BodyText"/>
      </w:pPr>
      <w:r>
        <w:t xml:space="preserve">Запускаю 8.3 и получаю сумму. (рис. 11).</w:t>
      </w:r>
    </w:p>
    <w:bookmarkStart w:id="66" w:name="fig:011"/>
    <w:p>
      <w:pPr>
        <w:pStyle w:val="CaptionedFigure"/>
      </w:pPr>
      <w:r>
        <w:drawing>
          <wp:inline>
            <wp:extent cx="4267200" cy="276339"/>
            <wp:effectExtent b="0" l="0" r="0" t="0"/>
            <wp:docPr descr="Рис. 11: ./8.3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7-4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./8.3</w:t>
      </w:r>
    </w:p>
    <w:bookmarkEnd w:id="66"/>
    <w:p>
      <w:pPr>
        <w:pStyle w:val="BodyText"/>
      </w:pPr>
      <w:r>
        <w:t xml:space="preserve">Меняю текст 8.3 так, чтобы полчить произведение аргументов. (рис. 12) (рис. 13).</w:t>
      </w:r>
    </w:p>
    <w:bookmarkStart w:id="70" w:name="fig:012"/>
    <w:p>
      <w:pPr>
        <w:pStyle w:val="CaptionedFigure"/>
      </w:pPr>
      <w:r>
        <w:drawing>
          <wp:inline>
            <wp:extent cx="4267200" cy="3093560"/>
            <wp:effectExtent b="0" l="0" r="0" t="0"/>
            <wp:docPr descr="Рис. 12: 8.3v2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9-0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8.3v2</w:t>
      </w:r>
    </w:p>
    <w:bookmarkEnd w:id="70"/>
    <w:bookmarkStart w:id="74" w:name="fig:013"/>
    <w:p>
      <w:pPr>
        <w:pStyle w:val="CaptionedFigure"/>
      </w:pPr>
      <w:r>
        <w:drawing>
          <wp:inline>
            <wp:extent cx="4267200" cy="640720"/>
            <wp:effectExtent b="0" l="0" r="0" t="0"/>
            <wp:docPr descr="Рис. 13: ./8.3v2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49-3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./8.3v2</w:t>
      </w:r>
    </w:p>
    <w:bookmarkEnd w:id="74"/>
    <w:p>
      <w:pPr>
        <w:pStyle w:val="BodyText"/>
      </w:pPr>
      <w:r>
        <w:t xml:space="preserve">Пишу команду для самостоятельной работы (1 вариант). (рис. 14).</w:t>
      </w:r>
    </w:p>
    <w:bookmarkStart w:id="78" w:name="fig:014"/>
    <w:p>
      <w:pPr>
        <w:pStyle w:val="CaptionedFigure"/>
      </w:pPr>
      <w:r>
        <w:drawing>
          <wp:inline>
            <wp:extent cx="4267200" cy="3109234"/>
            <wp:effectExtent b="0" l="0" r="0" t="0"/>
            <wp:docPr descr="Рис. 14: lab8-1s.asm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53-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0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lab8-1s.asm</w:t>
      </w:r>
    </w:p>
    <w:bookmarkEnd w:id="78"/>
    <w:p>
      <w:pPr>
        <w:pStyle w:val="BodyText"/>
      </w:pPr>
      <w:r>
        <w:t xml:space="preserve">Компеллирую и запускаю проверяя различные значения аргумента. (рис. 15).</w:t>
      </w:r>
    </w:p>
    <w:bookmarkStart w:id="82" w:name="fig:015"/>
    <w:p>
      <w:pPr>
        <w:pStyle w:val="CaptionedFigure"/>
      </w:pPr>
      <w:r>
        <w:drawing>
          <wp:inline>
            <wp:extent cx="4267200" cy="1065214"/>
            <wp:effectExtent b="0" l="0" r="0" t="0"/>
            <wp:docPr descr="Рис. 15: ./lab8-1s.asm" title="" id="8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8/report/image/Снимок%20экрана%20от%202024-11-27%2015-54-3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./lab8-1s.asm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я освоил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1"/>
        </w:numPr>
      </w:pPr>
      <w:r>
        <w:t xml:space="preserve">— 1120 с. — (Классика Computer Science).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Алехин Давид Андреевич</dc:creator>
  <dc:language>ru-RU</dc:language>
  <cp:keywords/>
  <dcterms:created xsi:type="dcterms:W3CDTF">2024-11-27T13:33:00Z</dcterms:created>
  <dcterms:modified xsi:type="dcterms:W3CDTF">2024-11-27T13:33:00Z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