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1.jpg" ContentType="image/jpeg"/>
  <Override PartName="/word/media/rId47.jpg" ContentType="image/jpeg"/>
  <Override PartName="/word/media/rId39.jpg" ContentType="image/jpeg"/>
  <Override PartName="/word/media/rId43.jpg" ContentType="image/jpeg"/>
  <Override PartName="/word/media/rId35.jpg" ContentType="image/jpeg"/>
  <Override PartName="/word/media/rId23.jpg" ContentType="image/jpeg"/>
  <Override PartName="/word/media/rId51.jpg" ContentType="image/jpeg"/>
  <Override PartName="/word/media/rId63.jpg" ContentType="image/jpeg"/>
  <Override PartName="/word/media/rId59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7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pStyle w:val="Compact"/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примеры 1 2 3 4 (рис. 1, 2, 3, 4).</w:t>
      </w:r>
    </w:p>
    <w:bookmarkStart w:id="26" w:name="fig:001"/>
    <w:p>
      <w:pPr>
        <w:pStyle w:val="CaptionedFigure"/>
      </w:pPr>
      <w:r>
        <w:drawing>
          <wp:inline>
            <wp:extent cx="3733800" cy="904393"/>
            <wp:effectExtent b="0" l="0" r="0" t="0"/>
            <wp:docPr descr="Рис. 1: примеры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5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98412"/>
            <wp:effectExtent b="0" l="0" r="0" t="0"/>
            <wp:docPr descr="Рис. 2: примеры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19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658691"/>
            <wp:effectExtent b="0" l="0" r="0" t="0"/>
            <wp:docPr descr="Рис. 3: примеры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0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1219051"/>
            <wp:effectExtent b="0" l="0" r="0" t="0"/>
            <wp:docPr descr="Рис. 4: примеры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</w:t>
      </w:r>
    </w:p>
    <w:bookmarkEnd w:id="38"/>
    <w:p>
      <w:pPr>
        <w:pStyle w:val="BodyText"/>
      </w:pPr>
      <w:r>
        <w:t xml:space="preserve">Выполняю 2.1 2.2 2.3 2.4 (рис. 5).</w:t>
      </w:r>
    </w:p>
    <w:bookmarkStart w:id="42" w:name="fig:005"/>
    <w:p>
      <w:pPr>
        <w:pStyle w:val="CaptionedFigure"/>
      </w:pPr>
      <w:r>
        <w:drawing>
          <wp:inline>
            <wp:extent cx="3733800" cy="386506"/>
            <wp:effectExtent b="0" l="0" r="0" t="0"/>
            <wp:docPr descr="Рис. 5: 2.1-2.4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2.1-2.4</w:t>
      </w:r>
    </w:p>
    <w:bookmarkEnd w:id="42"/>
    <w:p>
      <w:pPr>
        <w:pStyle w:val="BodyText"/>
      </w:pPr>
      <w:r>
        <w:t xml:space="preserve">Bыполняю 2.5 (рис. 6).</w:t>
      </w:r>
    </w:p>
    <w:bookmarkStart w:id="46" w:name="fig:006"/>
    <w:p>
      <w:pPr>
        <w:pStyle w:val="CaptionedFigure"/>
      </w:pPr>
      <w:r>
        <w:drawing>
          <wp:inline>
            <wp:extent cx="3733800" cy="302346"/>
            <wp:effectExtent b="0" l="0" r="0" t="0"/>
            <wp:docPr descr="Рис. 6: 2.5" title="" id="4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3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2.5</w:t>
      </w:r>
    </w:p>
    <w:bookmarkEnd w:id="46"/>
    <w:p>
      <w:pPr>
        <w:pStyle w:val="BodyText"/>
      </w:pPr>
      <w:r>
        <w:t xml:space="preserve">выполняю 2.6 2.7 2.8 (рис. 7).</w:t>
      </w:r>
    </w:p>
    <w:bookmarkStart w:id="50" w:name="fig:007"/>
    <w:p>
      <w:pPr>
        <w:pStyle w:val="CaptionedFigure"/>
      </w:pPr>
      <w:r>
        <w:drawing>
          <wp:inline>
            <wp:extent cx="3733800" cy="460408"/>
            <wp:effectExtent b="0" l="0" r="0" t="0"/>
            <wp:docPr descr="Рис. 7: 2.6-2.8" title="" id="4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2.6-2.8</w:t>
      </w:r>
    </w:p>
    <w:bookmarkEnd w:id="50"/>
    <w:p>
      <w:pPr>
        <w:pStyle w:val="BodyText"/>
      </w:pPr>
      <w:r>
        <w:t xml:space="preserve">3 чтобы задать приведённые права доступа нужны следующие опции:</w:t>
      </w:r>
      <w:r>
        <w:t xml:space="preserve"> </w:t>
      </w:r>
      <w:r>
        <w:t xml:space="preserve">3.1 111.110.010</w:t>
      </w:r>
      <w:r>
        <w:t xml:space="preserve"> </w:t>
      </w:r>
      <w:r>
        <w:t xml:space="preserve">3.2 111.100.100</w:t>
      </w:r>
      <w:r>
        <w:t xml:space="preserve"> </w:t>
      </w:r>
      <w:r>
        <w:t xml:space="preserve">3.3 010.110.010</w:t>
      </w:r>
      <w:r>
        <w:t xml:space="preserve"> </w:t>
      </w:r>
      <w:r>
        <w:t xml:space="preserve">3.4 011.011.010</w:t>
      </w:r>
    </w:p>
    <w:p>
      <w:pPr>
        <w:pStyle w:val="BodyText"/>
      </w:pPr>
      <w:r>
        <w:t xml:space="preserve">Bыполняю приведённые ниже упражнения пункта 4 (рис. 8, 9, 10, 11).</w:t>
      </w:r>
    </w:p>
    <w:bookmarkStart w:id="54" w:name="fig:008"/>
    <w:p>
      <w:pPr>
        <w:pStyle w:val="CaptionedFigure"/>
      </w:pPr>
      <w:r>
        <w:drawing>
          <wp:inline>
            <wp:extent cx="3733800" cy="2458665"/>
            <wp:effectExtent b="0" l="0" r="0" t="0"/>
            <wp:docPr descr="Рис. 8: 4" title="" id="5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6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4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730599"/>
            <wp:effectExtent b="0" l="0" r="0" t="0"/>
            <wp:docPr descr="Рис. 9: 4" title="" id="5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4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309934"/>
            <wp:effectExtent b="0" l="0" r="0" t="0"/>
            <wp:docPr descr="Рис. 10: 4" title="" id="6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8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4</w:t>
      </w:r>
    </w:p>
    <w:bookmarkEnd w:id="62"/>
    <w:bookmarkStart w:id="66" w:name="fig:011"/>
    <w:p>
      <w:pPr>
        <w:pStyle w:val="CaptionedFigure"/>
      </w:pPr>
      <w:r>
        <w:drawing>
          <wp:inline>
            <wp:extent cx="3733800" cy="379214"/>
            <wp:effectExtent b="0" l="0" r="0" t="0"/>
            <wp:docPr descr="Рис. 11: 4" title="" id="6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7/report/image/5417917741882536827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4</w:t>
      </w:r>
    </w:p>
    <w:bookmarkEnd w:id="66"/>
    <w:p>
      <w:pPr>
        <w:pStyle w:val="BodyText"/>
      </w:pPr>
      <w:r>
        <w:t xml:space="preserve">Выполняю пункт 5:</w:t>
      </w:r>
    </w:p>
    <w:p>
      <w:pPr>
        <w:pStyle w:val="BodyText"/>
      </w:pPr>
      <w:r>
        <w:t xml:space="preserve">Команда mount используется для монтирования файловой системы. Она принимает два параметра: файл устройства, соответствующий диску или разделу, на котором расположена файловая система, и имя каталога, к которому будет монтироваться система. Например, чтобы смонтировать дискету MS-DOS, нужно выполнить команду:</w:t>
      </w:r>
    </w:p>
    <w:p>
      <w:pPr>
        <w:pStyle w:val="BodyText"/>
      </w:pPr>
      <w:r>
        <w:t xml:space="preserve">mount -t msdos /dev/fd0 /floppy</w:t>
      </w:r>
    </w:p>
    <w:p>
      <w:pPr>
        <w:pStyle w:val="BodyText"/>
      </w:pPr>
      <w:r>
        <w:t xml:space="preserve">Команда fsck служит для проверки целостности и работоспособности файловой системы. Большинство систем сконфигурировано так, что команда fsck запускается автоматически при загрузке системы. Например, чтобы проверить диск /dev/sda6, нужно выполнить команду:</w:t>
      </w:r>
    </w:p>
    <w:p>
      <w:pPr>
        <w:pStyle w:val="BodyText"/>
      </w:pPr>
      <w:r>
        <w:t xml:space="preserve">sudo fsck -a /dev/sda6</w:t>
      </w:r>
    </w:p>
    <w:p>
      <w:pPr>
        <w:pStyle w:val="BodyText"/>
      </w:pPr>
      <w:r>
        <w:t xml:space="preserve">Команда mkfs позволяет создать файловую систему Linux. Например, чтобы отформатировать раздел с файловой системой ext4, можно выполнить команды:</w:t>
      </w:r>
    </w:p>
    <w:p>
      <w:pPr>
        <w:pStyle w:val="BodyText"/>
      </w:pPr>
      <w:r>
        <w:t xml:space="preserve">mkfs.ext4 /dev/sdb3</w:t>
      </w:r>
    </w:p>
    <w:p>
      <w:pPr>
        <w:pStyle w:val="BodyText"/>
      </w:pPr>
      <w:r>
        <w:t xml:space="preserve">Команда kill используется для завершения процессов. Например, чтобы корректно завершить процесс с PID 98989, нужно выполнить команду:</w:t>
      </w:r>
    </w:p>
    <w:p>
      <w:pPr>
        <w:pStyle w:val="BodyText"/>
      </w:pPr>
      <w:r>
        <w:t xml:space="preserve">kill -TERM 98989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 основную цель работы:</w:t>
      </w:r>
      <w:r>
        <w:t xml:space="preserve"> </w:t>
      </w: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47" Target="media/rId47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35" Target="media/rId35.jpg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63" Target="media/rId63.jpg" /><Relationship Type="http://schemas.openxmlformats.org/officeDocument/2006/relationships/image" Id="rId59" Target="media/rId59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Алехин Давид Андреевич</dc:creator>
  <dc:language>ru-RU</dc:language>
  <cp:keywords/>
  <dcterms:created xsi:type="dcterms:W3CDTF">2025-03-27T20:19:25Z</dcterms:created>
  <dcterms:modified xsi:type="dcterms:W3CDTF">2025-03-27T20:19:25Z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