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b/>
          <w:bCs/>
          <w:color w:val="1F3864"/>
          <w:sz w:val="36"/>
          <w:szCs w:val="36"/>
        </w:rPr>
        <w:t xml:space="preserve">HEADING UPDATES FOR S6 AGRICULTURE PAPERS</w:t>
      </w:r>
    </w:p>
    <w:p>
      <w:pPr>
        <w:spacing w:after="400" w:before="0"/>
        <w:jc w:val="center"/>
      </w:pPr>
      <w:r>
        <w:rPr>
          <w:b/>
          <w:bCs/>
          <w:color w:val="2E75B6"/>
          <w:sz w:val="26"/>
          <w:szCs w:val="26"/>
        </w:rPr>
        <w:t xml:space="preserve">Assessment Guidelines for A-Level Learners</w:t>
      </w:r>
    </w:p>
    <w:p>
      <w:pPr>
        <w:shd w:fill="1F3864"/>
        <w:spacing w:after="200" w:before="200"/>
        <w:jc w:val="center"/>
      </w:pPr>
      <w:r>
        <w:rPr>
          <w:b/>
          <w:bCs/>
          <w:color w:val="FFFFFF"/>
          <w:sz w:val="30"/>
          <w:szCs w:val="30"/>
        </w:rPr>
        <w:t xml:space="preserve">PAPER 1: GENERAL ASSESSMENT GUIDELINES</w:t>
      </w:r>
    </w:p>
    <w:p>
      <w:pPr>
        <w:pBdr>
          <w:bottom w:val="single" w:color="1F3864" w:sz="6" w:space="4"/>
        </w:pBdr>
        <w:spacing w:after="160" w:before="320"/>
      </w:pPr>
      <w:r>
        <w:rPr>
          <w:b/>
          <w:bCs/>
          <w:color w:val="1F3864"/>
          <w:sz w:val="28"/>
          <w:szCs w:val="28"/>
        </w:rPr>
        <w:t xml:space="preserve">1. Reading and Interpreting Tasks</w:t>
      </w:r>
    </w:p>
    <w:p>
      <w:pPr>
        <w:spacing w:after="80" w:before="80"/>
      </w:pPr>
      <w:r>
        <w:rPr>
          <w:sz w:val="24"/>
          <w:szCs w:val="24"/>
        </w:rPr>
        <w:t xml:space="preserve">Learners must read and fully interpret a task before beginning their response. The nature of the question determines what is expected in the answer.</w:t>
      </w:r>
    </w:p>
    <w:p>
      <w:pPr>
        <w:spacing w:after="100" w:before="200"/>
      </w:pPr>
      <w:r>
        <w:rPr>
          <w:b/>
          <w:bCs/>
          <w:color w:val="2E75B6"/>
          <w:sz w:val="24"/>
          <w:szCs w:val="24"/>
        </w:rPr>
        <w:t xml:space="preserve">Key Expectations:</w:t>
      </w:r>
    </w:p>
    <w:p>
      <w:pPr>
        <w:pStyle w:val="ListParagraph"/>
        <w:numPr>
          <w:ilvl w:val="0"/>
          <w:numId w:val="2"/>
        </w:numPr>
        <w:spacing w:after="60" w:before="60"/>
      </w:pPr>
      <w:r>
        <w:rPr>
          <w:b/>
          <w:bCs/>
          <w:sz w:val="24"/>
          <w:szCs w:val="24"/>
        </w:rPr>
        <w:t xml:space="preserve">Explain how challenges lead to low yields: </w:t>
      </w:r>
      <w:r>
        <w:rPr>
          <w:sz w:val="24"/>
          <w:szCs w:val="24"/>
        </w:rPr>
        <w:t xml:space="preserve">Learners should demonstrate how each identified challenge directly causes a reduction in crop output. Responses must link the challenge to its consequence on yield.</w:t>
      </w:r>
    </w:p>
    <w:p>
      <w:pPr>
        <w:pStyle w:val="ListParagraph"/>
        <w:numPr>
          <w:ilvl w:val="0"/>
          <w:numId w:val="2"/>
        </w:numPr>
        <w:spacing w:after="60" w:before="60"/>
      </w:pPr>
      <w:r>
        <w:rPr>
          <w:b/>
          <w:bCs/>
          <w:sz w:val="24"/>
          <w:szCs w:val="24"/>
        </w:rPr>
        <w:t xml:space="preserve">Explain effects of challenges at an animal farm: </w:t>
      </w:r>
      <w:r>
        <w:rPr>
          <w:sz w:val="24"/>
          <w:szCs w:val="24"/>
        </w:rPr>
        <w:t xml:space="preserve">When a task requires effects arising from poor farming practices, learners must describe the specific outcomes or consequences observed at the farm level.</w:t>
      </w:r>
    </w:p>
    <w:p>
      <w:pPr>
        <w:spacing w:after="100" w:before="100"/>
      </w:pPr>
      <w:r>
        <w:rPr>
          <w:b/>
          <w:bCs/>
          <w:color w:val="C00000"/>
          <w:sz w:val="22"/>
          <w:szCs w:val="22"/>
        </w:rPr>
        <w:t xml:space="preserve">NOTE: </w:t>
      </w:r>
      <w:r>
        <w:rPr>
          <w:sz w:val="22"/>
          <w:szCs w:val="22"/>
        </w:rPr>
        <w:t xml:space="preserve">Failing to interpret the task correctly will result in an irrelevant response, regardless of the quality of content provided.</w:t>
      </w:r>
    </w:p>
    <w:p>
      <w:pPr>
        <w:pBdr>
          <w:bottom w:val="single" w:color="1F3864" w:sz="6" w:space="4"/>
        </w:pBdr>
        <w:spacing w:after="160" w:before="320"/>
      </w:pPr>
      <w:r>
        <w:rPr>
          <w:b/>
          <w:bCs/>
          <w:color w:val="1F3864"/>
          <w:sz w:val="28"/>
          <w:szCs w:val="28"/>
        </w:rPr>
        <w:t xml:space="preserve">2. Challenge–Solution–Justification Structure</w:t>
      </w:r>
    </w:p>
    <w:p>
      <w:pPr>
        <w:spacing w:after="80" w:before="80"/>
      </w:pPr>
      <w:r>
        <w:rPr>
          <w:sz w:val="24"/>
          <w:szCs w:val="24"/>
        </w:rPr>
        <w:t xml:space="preserve">When a task asks how a challenge can be mitigated, learners must follow a three-part response structure:</w:t>
      </w:r>
    </w:p>
    <w:p>
      <w:pPr>
        <w:pStyle w:val="ListParagraph"/>
        <w:numPr>
          <w:ilvl w:val="0"/>
          <w:numId w:val="3"/>
        </w:numPr>
        <w:spacing w:after="60" w:before="60"/>
      </w:pPr>
      <w:r>
        <w:rPr>
          <w:b/>
          <w:bCs/>
          <w:sz w:val="24"/>
          <w:szCs w:val="24"/>
        </w:rPr>
        <w:t xml:space="preserve">State the Challenge: </w:t>
      </w:r>
      <w:r>
        <w:rPr>
          <w:sz w:val="24"/>
          <w:szCs w:val="24"/>
        </w:rPr>
        <w:t xml:space="preserve">Clearly identify the specific challenge being addressed.</w:t>
      </w:r>
    </w:p>
    <w:p>
      <w:pPr>
        <w:pStyle w:val="ListParagraph"/>
        <w:numPr>
          <w:ilvl w:val="0"/>
          <w:numId w:val="3"/>
        </w:numPr>
        <w:spacing w:after="60" w:before="60"/>
      </w:pPr>
      <w:r>
        <w:rPr>
          <w:b/>
          <w:bCs/>
          <w:sz w:val="24"/>
          <w:szCs w:val="24"/>
        </w:rPr>
        <w:t xml:space="preserve">Provide the Solution (Mitigation): </w:t>
      </w:r>
      <w:r>
        <w:rPr>
          <w:sz w:val="24"/>
          <w:szCs w:val="24"/>
        </w:rPr>
        <w:t xml:space="preserve">Offer a clear and direct method for addressing the challenge.</w:t>
      </w:r>
    </w:p>
    <w:p>
      <w:pPr>
        <w:pStyle w:val="ListParagraph"/>
        <w:numPr>
          <w:ilvl w:val="0"/>
          <w:numId w:val="3"/>
        </w:numPr>
        <w:spacing w:after="60" w:before="60"/>
      </w:pPr>
      <w:r>
        <w:rPr>
          <w:b/>
          <w:bCs/>
          <w:sz w:val="24"/>
          <w:szCs w:val="24"/>
        </w:rPr>
        <w:t xml:space="preserve">Justify the Solution: </w:t>
      </w:r>
      <w:r>
        <w:rPr>
          <w:sz w:val="24"/>
          <w:szCs w:val="24"/>
        </w:rPr>
        <w:t xml:space="preserve">Explain why the solution is effective using basic scientific principles — NOT general management practices.</w:t>
      </w:r>
    </w:p>
    <w:p>
      <w:pPr>
        <w:spacing w:after="160" w:before="100"/>
      </w:pPr>
      <w:r>
        <w:rPr>
          <w:b/>
          <w:bCs/>
          <w:color w:val="C00000"/>
          <w:sz w:val="22"/>
          <w:szCs w:val="22"/>
        </w:rPr>
        <w:t xml:space="preserve">IMPORTANT: </w:t>
      </w:r>
      <w:r>
        <w:rPr>
          <w:sz w:val="22"/>
          <w:szCs w:val="22"/>
        </w:rPr>
        <w:t xml:space="preserve">Responses must be grounded in basic science (e.g., biological, chemical, or physical principles), not generic farm management statements.</w:t>
      </w:r>
    </w:p>
    <w:p>
      <w:pPr>
        <w:pBdr>
          <w:bottom w:val="single" w:color="1F3864" w:sz="6" w:space="4"/>
        </w:pBdr>
        <w:spacing w:after="160" w:before="320"/>
      </w:pPr>
      <w:r>
        <w:rPr>
          <w:b/>
          <w:bCs/>
          <w:color w:val="1F3864"/>
          <w:sz w:val="28"/>
          <w:szCs w:val="28"/>
        </w:rPr>
        <w:t xml:space="preserve">3. Value Addition</w:t>
      </w:r>
    </w:p>
    <w:p>
      <w:pPr>
        <w:spacing w:after="100" w:before="200"/>
      </w:pPr>
      <w:r>
        <w:rPr>
          <w:b/>
          <w:bCs/>
          <w:color w:val="2E75B6"/>
          <w:sz w:val="24"/>
          <w:szCs w:val="24"/>
        </w:rPr>
        <w:t xml:space="preserve">A. Animal Products</w:t>
      </w:r>
    </w:p>
    <w:p>
      <w:pPr>
        <w:spacing w:after="80" w:before="80"/>
      </w:pPr>
      <w:r>
        <w:rPr>
          <w:sz w:val="24"/>
          <w:szCs w:val="24"/>
        </w:rPr>
        <w:t xml:space="preserve">When responding to tasks on value addition in animal products, the following are mandatory:</w:t>
      </w:r>
    </w:p>
    <w:p>
      <w:pPr>
        <w:pStyle w:val="ListParagraph"/>
        <w:numPr>
          <w:ilvl w:val="0"/>
          <w:numId w:val="2"/>
        </w:numPr>
        <w:spacing w:after="60" w:before="60"/>
      </w:pPr>
      <w:r>
        <w:rPr>
          <w:sz w:val="24"/>
          <w:szCs w:val="24"/>
        </w:rPr>
        <w:t xml:space="preserve">Coherence: The response must flow logically from one point to the next.</w:t>
      </w:r>
    </w:p>
    <w:p>
      <w:pPr>
        <w:pStyle w:val="ListParagraph"/>
        <w:numPr>
          <w:ilvl w:val="0"/>
          <w:numId w:val="2"/>
        </w:numPr>
        <w:spacing w:after="60" w:before="60"/>
      </w:pPr>
      <w:r>
        <w:rPr>
          <w:sz w:val="24"/>
          <w:szCs w:val="24"/>
        </w:rPr>
        <w:t xml:space="preserve">Justification of key points: Each point raised must be supported with a reason.</w:t>
      </w:r>
    </w:p>
    <w:p>
      <w:pPr>
        <w:pStyle w:val="ListParagraph"/>
        <w:numPr>
          <w:ilvl w:val="0"/>
          <w:numId w:val="2"/>
        </w:numPr>
        <w:spacing w:after="60" w:before="60"/>
      </w:pPr>
      <w:r>
        <w:rPr>
          <w:sz w:val="24"/>
          <w:szCs w:val="24"/>
        </w:rPr>
        <w:t xml:space="preserve">Making a required product: Clearly describe the process of producing the specified product.</w:t>
      </w:r>
    </w:p>
    <w:p>
      <w:pPr>
        <w:pStyle w:val="ListParagraph"/>
        <w:numPr>
          <w:ilvl w:val="0"/>
          <w:numId w:val="2"/>
        </w:numPr>
        <w:spacing w:after="60" w:before="60"/>
      </w:pPr>
      <w:r>
        <w:rPr>
          <w:sz w:val="24"/>
          <w:szCs w:val="24"/>
        </w:rPr>
        <w:t xml:space="preserve">Control of conditions: State and explain the conditions required (e.g., temperature, pH, time) and why they must be maintained.</w:t>
      </w:r>
    </w:p>
    <w:p>
      <w:pPr>
        <w:pStyle w:val="ListParagraph"/>
        <w:numPr>
          <w:ilvl w:val="0"/>
          <w:numId w:val="2"/>
        </w:numPr>
        <w:spacing w:after="60" w:before="60"/>
      </w:pPr>
      <w:r>
        <w:rPr>
          <w:sz w:val="24"/>
          <w:szCs w:val="24"/>
        </w:rPr>
        <w:t xml:space="preserve">Giving quantities: Specific quantities of ingredients or inputs must be provided where applicable.</w:t>
      </w:r>
    </w:p>
    <w:p>
      <w:pPr>
        <w:spacing w:after="100" w:before="200"/>
      </w:pPr>
      <w:r>
        <w:rPr>
          <w:b/>
          <w:bCs/>
          <w:color w:val="2E75B6"/>
          <w:sz w:val="24"/>
          <w:szCs w:val="24"/>
        </w:rPr>
        <w:t xml:space="preserve">B. Crop Products</w:t>
      </w:r>
    </w:p>
    <w:p>
      <w:pPr>
        <w:spacing w:after="80" w:before="80"/>
      </w:pPr>
      <w:r>
        <w:rPr>
          <w:sz w:val="24"/>
          <w:szCs w:val="24"/>
        </w:rPr>
        <w:t xml:space="preserve">For crop product tasks, marketing documents are the primary focus of assessment. Learners must observe the following:</w:t>
      </w:r>
    </w:p>
    <w:p>
      <w:pPr>
        <w:pStyle w:val="ListParagraph"/>
        <w:numPr>
          <w:ilvl w:val="0"/>
          <w:numId w:val="2"/>
        </w:numPr>
        <w:spacing w:after="60" w:before="60"/>
      </w:pPr>
      <w:r>
        <w:rPr>
          <w:sz w:val="24"/>
          <w:szCs w:val="24"/>
        </w:rPr>
        <w:t xml:space="preserve">Provide a title before constructing any marketing document.</w:t>
      </w:r>
    </w:p>
    <w:p>
      <w:pPr>
        <w:pStyle w:val="ListParagraph"/>
        <w:numPr>
          <w:ilvl w:val="0"/>
          <w:numId w:val="2"/>
        </w:numPr>
        <w:spacing w:after="60" w:before="60"/>
      </w:pPr>
      <w:r>
        <w:rPr>
          <w:sz w:val="24"/>
          <w:szCs w:val="24"/>
        </w:rPr>
        <w:t xml:space="preserve">The document must meet the format and content requirements of the specified marketing material (e.g., advertisement, label, poster).</w:t>
      </w:r>
    </w:p>
    <w:p>
      <w:pPr>
        <w:pStyle w:val="ListParagraph"/>
        <w:numPr>
          <w:ilvl w:val="0"/>
          <w:numId w:val="2"/>
        </w:numPr>
        <w:spacing w:after="60" w:before="60"/>
      </w:pPr>
      <w:r>
        <w:rPr>
          <w:sz w:val="24"/>
          <w:szCs w:val="24"/>
        </w:rPr>
        <w:t xml:space="preserve">Content must be relevant, accurate, and appropriately structured.</w:t>
      </w:r>
    </w:p>
    <w:p>
      <w:pPr>
        <w:pBdr>
          <w:bottom w:val="single" w:color="1F3864" w:sz="6" w:space="4"/>
        </w:pBdr>
        <w:spacing w:after="160" w:before="320"/>
      </w:pPr>
      <w:r>
        <w:rPr>
          <w:b/>
          <w:bCs/>
          <w:color w:val="1F3864"/>
          <w:sz w:val="28"/>
          <w:szCs w:val="28"/>
        </w:rPr>
        <w:t xml:space="preserve">4. Use of Figures and Calculations</w:t>
      </w:r>
    </w:p>
    <w:p>
      <w:pPr>
        <w:spacing w:after="80" w:before="80"/>
      </w:pPr>
      <w:r>
        <w:rPr>
          <w:sz w:val="24"/>
          <w:szCs w:val="24"/>
        </w:rPr>
        <w:t xml:space="preserve">Where a scenario provides numerical data or figures, learners are required to perform calculations before responding to the question. The following apply:</w:t>
      </w:r>
    </w:p>
    <w:p>
      <w:pPr>
        <w:pStyle w:val="ListParagraph"/>
        <w:numPr>
          <w:ilvl w:val="0"/>
          <w:numId w:val="2"/>
        </w:numPr>
        <w:spacing w:after="60" w:before="60"/>
      </w:pPr>
      <w:r>
        <w:rPr>
          <w:sz w:val="24"/>
          <w:szCs w:val="24"/>
        </w:rPr>
        <w:t xml:space="preserve">All data given in the scenario must be used appropriately in the calculation.</w:t>
      </w:r>
    </w:p>
    <w:p>
      <w:pPr>
        <w:pStyle w:val="ListParagraph"/>
        <w:numPr>
          <w:ilvl w:val="0"/>
          <w:numId w:val="2"/>
        </w:numPr>
        <w:spacing w:after="60" w:before="60"/>
      </w:pPr>
      <w:r>
        <w:rPr>
          <w:sz w:val="24"/>
          <w:szCs w:val="24"/>
        </w:rPr>
        <w:t xml:space="preserve">Workings must be clearly shown — do not state final answers without calculation steps.</w:t>
      </w:r>
    </w:p>
    <w:p>
      <w:pPr>
        <w:pStyle w:val="ListParagraph"/>
        <w:numPr>
          <w:ilvl w:val="0"/>
          <w:numId w:val="2"/>
        </w:numPr>
        <w:spacing w:after="60" w:before="60"/>
      </w:pPr>
      <w:r>
        <w:rPr>
          <w:sz w:val="24"/>
          <w:szCs w:val="24"/>
        </w:rPr>
        <w:t xml:space="preserve">Responses to the question should then be based on the outcome of the calculation.</w:t>
      </w:r>
    </w:p>
    <w:p>
      <w:pPr>
        <w:spacing w:after="160" w:before="80"/>
      </w:pPr>
      <w:r>
        <w:rPr>
          <w:b/>
          <w:bCs/>
          <w:sz w:val="22"/>
          <w:szCs w:val="22"/>
        </w:rPr>
        <w:t xml:space="preserve">Example: </w:t>
      </w:r>
      <w:r>
        <w:rPr>
          <w:i/>
          <w:iCs/>
          <w:sz w:val="22"/>
          <w:szCs w:val="22"/>
        </w:rPr>
        <w:t xml:space="preserve">If figures for stocking density, feed quantity, or yield are given, compute the relevant value first, then use the result to answer the task.</w:t>
      </w:r>
    </w:p>
    <w:p>
      <w:pPr>
        <w:shd w:fill="1F3864"/>
        <w:spacing w:after="200" w:before="300"/>
        <w:jc w:val="center"/>
      </w:pPr>
      <w:r>
        <w:rPr>
          <w:b/>
          <w:bCs/>
          <w:color w:val="FFFFFF"/>
          <w:sz w:val="30"/>
          <w:szCs w:val="30"/>
        </w:rPr>
        <w:t xml:space="preserve">PAPER 2: THE PRACTICAL PAPER</w:t>
      </w:r>
    </w:p>
    <w:p>
      <w:pPr>
        <w:spacing w:after="80" w:before="80"/>
      </w:pPr>
      <w:r>
        <w:rPr>
          <w:sz w:val="24"/>
          <w:szCs w:val="24"/>
        </w:rPr>
        <w:t xml:space="preserve">Paper 2 (the practical paper) consists of two items: the Investigation Item and the Observational Item.</w:t>
      </w:r>
    </w:p>
    <w:p>
      <w:pPr>
        <w:pBdr>
          <w:bottom w:val="single" w:color="1F3864" w:sz="6" w:space="4"/>
        </w:pBdr>
        <w:spacing w:after="160" w:before="320"/>
      </w:pPr>
      <w:r>
        <w:rPr>
          <w:b/>
          <w:bCs/>
          <w:color w:val="1F3864"/>
          <w:sz w:val="28"/>
          <w:szCs w:val="28"/>
        </w:rPr>
        <w:t xml:space="preserve">ITEM 1: The Investigation Item</w:t>
      </w:r>
    </w:p>
    <w:p>
      <w:pPr>
        <w:spacing w:after="80" w:before="80"/>
      </w:pPr>
      <w:r>
        <w:rPr>
          <w:sz w:val="24"/>
          <w:szCs w:val="24"/>
        </w:rPr>
        <w:t xml:space="preserve">The investigation item is assessed on 8 parameters/bases of evaluation. Learners must address all of the following:</w:t>
      </w:r>
    </w:p>
    <w:p>
      <w:pPr>
        <w:spacing w:after="100" w:before="200"/>
      </w:pPr>
      <w:r>
        <w:rPr>
          <w:b/>
          <w:bCs/>
          <w:color w:val="2E75B6"/>
          <w:sz w:val="24"/>
          <w:szCs w:val="24"/>
        </w:rPr>
        <w:t xml:space="preserve">Parameters of Evaluation:</w:t>
      </w:r>
    </w:p>
    <w:p>
      <w:pPr>
        <w:pStyle w:val="ListParagraph"/>
        <w:numPr>
          <w:ilvl w:val="0"/>
          <w:numId w:val="2"/>
        </w:numPr>
        <w:spacing w:after="60" w:before="60"/>
      </w:pPr>
      <w:r>
        <w:rPr>
          <w:b/>
          <w:bCs/>
          <w:sz w:val="24"/>
          <w:szCs w:val="24"/>
        </w:rPr>
        <w:t xml:space="preserve">1. Aim: </w:t>
      </w:r>
      <w:r>
        <w:rPr>
          <w:sz w:val="24"/>
          <w:szCs w:val="24"/>
        </w:rPr>
        <w:t xml:space="preserve">State the purpose of the investigation clearly and concisely.</w:t>
      </w:r>
    </w:p>
    <w:p>
      <w:pPr>
        <w:pStyle w:val="ListParagraph"/>
        <w:numPr>
          <w:ilvl w:val="0"/>
          <w:numId w:val="2"/>
        </w:numPr>
        <w:spacing w:after="60" w:before="60"/>
      </w:pPr>
      <w:r>
        <w:rPr>
          <w:b/>
          <w:bCs/>
          <w:sz w:val="24"/>
          <w:szCs w:val="24"/>
        </w:rPr>
        <w:t xml:space="preserve">2. Hypothesis: </w:t>
      </w:r>
      <w:r>
        <w:rPr>
          <w:sz w:val="24"/>
          <w:szCs w:val="24"/>
        </w:rPr>
        <w:t xml:space="preserve">Provide a testable, science-based prediction of the expected outcome.</w:t>
      </w:r>
    </w:p>
    <w:p>
      <w:pPr>
        <w:pStyle w:val="ListParagraph"/>
        <w:numPr>
          <w:ilvl w:val="0"/>
          <w:numId w:val="2"/>
        </w:numPr>
        <w:spacing w:after="60" w:before="60"/>
      </w:pPr>
      <w:r>
        <w:rPr>
          <w:b/>
          <w:bCs/>
          <w:sz w:val="24"/>
          <w:szCs w:val="24"/>
        </w:rPr>
        <w:t xml:space="preserve">3. Materials and Apparatus: </w:t>
      </w:r>
      <w:r>
        <w:rPr>
          <w:sz w:val="24"/>
          <w:szCs w:val="24"/>
        </w:rPr>
        <w:t xml:space="preserve">List all items required for the investigation.</w:t>
      </w:r>
    </w:p>
    <w:p>
      <w:pPr>
        <w:pStyle w:val="ListParagraph"/>
        <w:numPr>
          <w:ilvl w:val="0"/>
          <w:numId w:val="2"/>
        </w:numPr>
        <w:spacing w:after="60" w:before="60"/>
      </w:pPr>
      <w:r>
        <w:rPr>
          <w:b/>
          <w:bCs/>
          <w:sz w:val="24"/>
          <w:szCs w:val="24"/>
        </w:rPr>
        <w:t xml:space="preserve">4. Procedure: </w:t>
      </w:r>
      <w:r>
        <w:rPr>
          <w:sz w:val="24"/>
          <w:szCs w:val="24"/>
        </w:rPr>
        <w:t xml:space="preserve">Describe the steps to be followed. Each step must be justified — explain why it is carried out in that manner.</w:t>
      </w:r>
    </w:p>
    <w:p>
      <w:pPr>
        <w:pStyle w:val="ListParagraph"/>
        <w:numPr>
          <w:ilvl w:val="0"/>
          <w:numId w:val="2"/>
        </w:numPr>
        <w:spacing w:after="60" w:before="60"/>
      </w:pPr>
      <w:r>
        <w:rPr>
          <w:b/>
          <w:bCs/>
          <w:sz w:val="24"/>
          <w:szCs w:val="24"/>
        </w:rPr>
        <w:t xml:space="preserve">5. Results/Data Recording: </w:t>
      </w:r>
      <w:r>
        <w:rPr>
          <w:sz w:val="24"/>
          <w:szCs w:val="24"/>
        </w:rPr>
        <w:t xml:space="preserve">Show how data will be collected and recorded (e.g., tables, observations).</w:t>
      </w:r>
    </w:p>
    <w:p>
      <w:pPr>
        <w:pStyle w:val="ListParagraph"/>
        <w:numPr>
          <w:ilvl w:val="0"/>
          <w:numId w:val="2"/>
        </w:numPr>
        <w:spacing w:after="60" w:before="60"/>
      </w:pPr>
      <w:r>
        <w:rPr>
          <w:b/>
          <w:bCs/>
          <w:sz w:val="24"/>
          <w:szCs w:val="24"/>
        </w:rPr>
        <w:t xml:space="preserve">6. Discussion: </w:t>
      </w:r>
      <w:r>
        <w:rPr>
          <w:sz w:val="24"/>
          <w:szCs w:val="24"/>
        </w:rPr>
        <w:t xml:space="preserve">Interpret the findings in relation to the hypothesis and scientific principles.</w:t>
      </w:r>
    </w:p>
    <w:p>
      <w:pPr>
        <w:pStyle w:val="ListParagraph"/>
        <w:numPr>
          <w:ilvl w:val="0"/>
          <w:numId w:val="2"/>
        </w:numPr>
        <w:spacing w:after="60" w:before="60"/>
      </w:pPr>
      <w:r>
        <w:rPr>
          <w:b/>
          <w:bCs/>
          <w:sz w:val="24"/>
          <w:szCs w:val="24"/>
        </w:rPr>
        <w:t xml:space="preserve">7. Conclusion: </w:t>
      </w:r>
      <w:r>
        <w:rPr>
          <w:sz w:val="24"/>
          <w:szCs w:val="24"/>
        </w:rPr>
        <w:t xml:space="preserve">State whether the hypothesis was supported or refuted, based on the data and discussion.</w:t>
      </w:r>
    </w:p>
    <w:p>
      <w:pPr>
        <w:pStyle w:val="ListParagraph"/>
        <w:numPr>
          <w:ilvl w:val="0"/>
          <w:numId w:val="2"/>
        </w:numPr>
        <w:spacing w:after="60" w:before="60"/>
      </w:pPr>
      <w:r>
        <w:rPr>
          <w:b/>
          <w:bCs/>
          <w:sz w:val="24"/>
          <w:szCs w:val="24"/>
        </w:rPr>
        <w:t xml:space="preserve">8. Risks and Mitigation: </w:t>
      </w:r>
      <w:r>
        <w:rPr>
          <w:sz w:val="24"/>
          <w:szCs w:val="24"/>
        </w:rPr>
        <w:t xml:space="preserve">NEW ADDITION — Identify potential risks involved in the investigation and state how each risk can be mitigated.</w:t>
      </w:r>
    </w:p>
    <w:p>
      <w:pPr>
        <w:spacing w:after="100" w:before="200"/>
      </w:pPr>
      <w:r>
        <w:rPr>
          <w:b/>
          <w:bCs/>
          <w:color w:val="2E75B6"/>
          <w:sz w:val="24"/>
          <w:szCs w:val="24"/>
        </w:rPr>
        <w:t xml:space="preserve">Recommendation Guidelines:</w:t>
      </w:r>
    </w:p>
    <w:p>
      <w:pPr>
        <w:spacing w:after="80" w:before="80"/>
      </w:pPr>
      <w:r>
        <w:rPr>
          <w:sz w:val="24"/>
          <w:szCs w:val="24"/>
        </w:rPr>
        <w:t xml:space="preserve">When writing recommendations, learners must note the following:</w:t>
      </w:r>
    </w:p>
    <w:p>
      <w:pPr>
        <w:pStyle w:val="ListParagraph"/>
        <w:numPr>
          <w:ilvl w:val="0"/>
          <w:numId w:val="2"/>
        </w:numPr>
        <w:spacing w:after="60" w:before="60"/>
      </w:pPr>
      <w:r>
        <w:rPr>
          <w:sz w:val="24"/>
          <w:szCs w:val="24"/>
        </w:rPr>
        <w:t xml:space="preserve">Recommendations must be justified — do not state recommendations without supporting reasons.</w:t>
      </w:r>
    </w:p>
    <w:p>
      <w:pPr>
        <w:pStyle w:val="ListParagraph"/>
        <w:numPr>
          <w:ilvl w:val="0"/>
          <w:numId w:val="2"/>
        </w:numPr>
        <w:spacing w:after="60" w:before="60"/>
      </w:pPr>
      <w:r>
        <w:rPr>
          <w:sz w:val="24"/>
          <w:szCs w:val="24"/>
        </w:rPr>
        <w:t xml:space="preserve">Recommendations should be based either on the data presented in the investigation OR on the conclusion reached.</w:t>
      </w:r>
    </w:p>
    <w:p>
      <w:pPr>
        <w:pStyle w:val="ListParagraph"/>
        <w:numPr>
          <w:ilvl w:val="0"/>
          <w:numId w:val="2"/>
        </w:numPr>
        <w:spacing w:after="60" w:before="60"/>
      </w:pPr>
      <w:r>
        <w:rPr>
          <w:sz w:val="24"/>
          <w:szCs w:val="24"/>
        </w:rPr>
        <w:t xml:space="preserve">Avoid vague or generic recommendations; they must directly relate to the investigation findings.</w:t>
      </w:r>
    </w:p>
    <w:p>
      <w:pPr>
        <w:spacing w:after="100" w:before="200"/>
      </w:pPr>
      <w:r>
        <w:rPr>
          <w:b/>
          <w:bCs/>
          <w:color w:val="2E75B6"/>
          <w:sz w:val="24"/>
          <w:szCs w:val="24"/>
        </w:rPr>
        <w:t xml:space="preserve">Procedure — Justification Requirement:</w:t>
      </w:r>
    </w:p>
    <w:p>
      <w:pPr>
        <w:spacing w:after="80" w:before="80"/>
      </w:pPr>
      <w:r>
        <w:rPr>
          <w:sz w:val="24"/>
          <w:szCs w:val="24"/>
        </w:rPr>
        <w:t xml:space="preserve">Each step in the procedure must be accompanied by its justification. Learners should explain the scientific reason behind each procedural step to demonstrate understanding.</w:t>
      </w:r>
    </w:p>
    <w:p>
      <w:pPr>
        <w:spacing w:after="160" w:before="80"/>
      </w:pPr>
      <w:r>
        <w:rPr>
          <w:b/>
          <w:bCs/>
          <w:sz w:val="22"/>
          <w:szCs w:val="22"/>
        </w:rPr>
        <w:t xml:space="preserve">Example: </w:t>
      </w:r>
      <w:r>
        <w:rPr>
          <w:i/>
          <w:iCs/>
          <w:sz w:val="22"/>
          <w:szCs w:val="22"/>
        </w:rPr>
        <w:t xml:space="preserve">"Soil samples were air-dried before analysis to remove excess moisture, which would otherwise interfere with the accuracy of the results."</w:t>
      </w:r>
    </w:p>
    <w:p>
      <w:pPr>
        <w:pBdr>
          <w:bottom w:val="single" w:color="1F3864" w:sz="6" w:space="4"/>
        </w:pBdr>
        <w:spacing w:after="160" w:before="320"/>
      </w:pPr>
      <w:r>
        <w:rPr>
          <w:b/>
          <w:bCs/>
          <w:color w:val="1F3864"/>
          <w:sz w:val="28"/>
          <w:szCs w:val="28"/>
        </w:rPr>
        <w:t xml:space="preserve">ITEM 2: The Observational Item</w:t>
      </w:r>
    </w:p>
    <w:p>
      <w:pPr>
        <w:spacing w:after="80" w:before="80"/>
      </w:pPr>
      <w:r>
        <w:rPr>
          <w:sz w:val="24"/>
          <w:szCs w:val="24"/>
        </w:rPr>
        <w:t xml:space="preserve">The observational item is divided into three parts: (a), (b), and (c).</w:t>
      </w:r>
    </w:p>
    <w:p>
      <w:pPr>
        <w:spacing w:after="100" w:before="200"/>
      </w:pPr>
      <w:r>
        <w:rPr>
          <w:b/>
          <w:bCs/>
          <w:color w:val="2E75B6"/>
          <w:sz w:val="24"/>
          <w:szCs w:val="24"/>
        </w:rPr>
        <w:t xml:space="preserve">Part (a) — Identification of Features:</w:t>
      </w:r>
    </w:p>
    <w:p>
      <w:pPr>
        <w:spacing w:after="80" w:before="80"/>
      </w:pPr>
      <w:r>
        <w:rPr>
          <w:sz w:val="24"/>
          <w:szCs w:val="24"/>
        </w:rPr>
        <w:t xml:space="preserve">Learners must identify features observed in the specimen(s) provided. For each feature identified:</w:t>
      </w:r>
    </w:p>
    <w:p>
      <w:pPr>
        <w:pStyle w:val="ListParagraph"/>
        <w:numPr>
          <w:ilvl w:val="0"/>
          <w:numId w:val="2"/>
        </w:numPr>
        <w:spacing w:after="60" w:before="60"/>
      </w:pPr>
      <w:r>
        <w:rPr>
          <w:sz w:val="24"/>
          <w:szCs w:val="24"/>
        </w:rPr>
        <w:t xml:space="preserve">State the feature clearly.</w:t>
      </w:r>
    </w:p>
    <w:p>
      <w:pPr>
        <w:pStyle w:val="ListParagraph"/>
        <w:numPr>
          <w:ilvl w:val="0"/>
          <w:numId w:val="2"/>
        </w:numPr>
        <w:spacing w:after="60" w:before="60"/>
      </w:pPr>
      <w:r>
        <w:rPr>
          <w:sz w:val="24"/>
          <w:szCs w:val="24"/>
        </w:rPr>
        <w:t xml:space="preserve">Attach its role or function — explain what purpose the feature serves.</w:t>
      </w:r>
    </w:p>
    <w:p>
      <w:pPr>
        <w:spacing w:after="120" w:before="60"/>
      </w:pPr>
      <w:r>
        <w:rPr>
          <w:b/>
          <w:bCs/>
          <w:color w:val="2E75B6"/>
          <w:sz w:val="22"/>
          <w:szCs w:val="22"/>
        </w:rPr>
        <w:t xml:space="preserve">Note: </w:t>
      </w:r>
      <w:r>
        <w:rPr>
          <w:sz w:val="22"/>
          <w:szCs w:val="22"/>
        </w:rPr>
        <w:t xml:space="preserve">The requirement to attach a function may vary depending on the specimen(s) available for that particular assessment.</w:t>
      </w:r>
    </w:p>
    <w:p>
      <w:pPr>
        <w:spacing w:after="100" w:before="200"/>
      </w:pPr>
      <w:r>
        <w:rPr>
          <w:b/>
          <w:bCs/>
          <w:color w:val="2E75B6"/>
          <w:sz w:val="24"/>
          <w:szCs w:val="24"/>
        </w:rPr>
        <w:t xml:space="preserve">Part (b) — Task-Dependent Response:</w:t>
      </w:r>
    </w:p>
    <w:p>
      <w:pPr>
        <w:spacing w:after="80" w:before="80"/>
      </w:pPr>
      <w:r>
        <w:rPr>
          <w:sz w:val="24"/>
          <w:szCs w:val="24"/>
        </w:rPr>
        <w:t xml:space="preserve">The requirement for part (b) will depend on the specific task given. Learners must read the instruction carefully and respond accordingly.</w:t>
      </w:r>
    </w:p>
    <w:p>
      <w:pPr>
        <w:spacing w:after="100" w:before="200"/>
      </w:pPr>
      <w:r>
        <w:rPr>
          <w:b/>
          <w:bCs/>
          <w:color w:val="2E75B6"/>
          <w:sz w:val="24"/>
          <w:szCs w:val="24"/>
        </w:rPr>
        <w:t xml:space="preserve">Part (c) — Maintenance, Control, and Other Aspects:</w:t>
      </w:r>
    </w:p>
    <w:p>
      <w:pPr>
        <w:spacing w:after="80" w:before="80"/>
      </w:pPr>
      <w:r>
        <w:rPr>
          <w:sz w:val="24"/>
          <w:szCs w:val="24"/>
        </w:rPr>
        <w:t xml:space="preserve">Part (c) commonly requires responses on topics such as maintenance, control measures, and related practices. Key requirements include:</w:t>
      </w:r>
    </w:p>
    <w:p>
      <w:pPr>
        <w:pStyle w:val="ListParagraph"/>
        <w:numPr>
          <w:ilvl w:val="0"/>
          <w:numId w:val="2"/>
        </w:numPr>
        <w:spacing w:after="60" w:before="60"/>
      </w:pPr>
      <w:r>
        <w:rPr>
          <w:sz w:val="24"/>
          <w:szCs w:val="24"/>
        </w:rPr>
        <w:t xml:space="preserve">All responses must be justified — state not only what should be done, but why it should be done.</w:t>
      </w:r>
    </w:p>
    <w:p>
      <w:pPr>
        <w:pStyle w:val="ListParagraph"/>
        <w:numPr>
          <w:ilvl w:val="0"/>
          <w:numId w:val="2"/>
        </w:numPr>
        <w:spacing w:after="60" w:before="60"/>
      </w:pPr>
      <w:r>
        <w:rPr>
          <w:sz w:val="24"/>
          <w:szCs w:val="24"/>
        </w:rPr>
        <w:t xml:space="preserve">Responses must be precise and linked to the specimen or scenario presented.</w:t>
      </w:r>
    </w:p>
    <w:p>
      <w:pPr>
        <w:pStyle w:val="ListParagraph"/>
        <w:numPr>
          <w:ilvl w:val="0"/>
          <w:numId w:val="2"/>
        </w:numPr>
        <w:spacing w:after="60" w:before="60"/>
      </w:pPr>
      <w:r>
        <w:rPr>
          <w:sz w:val="24"/>
          <w:szCs w:val="24"/>
        </w:rPr>
        <w:t xml:space="preserve">Where control is required, specify the method and explain its scientific basis.</w:t>
      </w:r>
    </w:p>
    <w:p>
      <w:pPr>
        <w:spacing w:after="0" w:before="300"/>
      </w:pPr>
      <w:r>
        <w:rPr>
          <w:sz w:val="20"/>
          <w:szCs w:val="20"/>
        </w:rPr>
        <w:t xml:space="preserve"> </w:t>
      </w:r>
    </w:p>
    <w:p>
      <w:pPr>
        <w:pBdr>
          <w:top w:val="single" w:color="1F3864" w:sz="6" w:space="6"/>
        </w:pBdr>
        <w:spacing w:after="80" w:before="200"/>
      </w:pPr>
      <w:r>
        <w:rPr>
          <w:b/>
          <w:bCs/>
          <w:color w:val="C00000"/>
          <w:sz w:val="22"/>
          <w:szCs w:val="22"/>
        </w:rPr>
        <w:t xml:space="preserve">General Reminder: </w:t>
      </w:r>
      <w:r>
        <w:rPr>
          <w:sz w:val="22"/>
          <w:szCs w:val="22"/>
        </w:rPr>
        <w:t xml:space="preserve">Across all items and papers, learners should prioritise clarity, scientific accuracy, justification of points, and direct relevance to the task at hand. Irrelevant content, unjustified points, and failure to address the task as stated will lead to loss of marks.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20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2026-05-02T07:23:04.254Z</dcterms:created>
  <dcterms:modified xsi:type="dcterms:W3CDTF">2026-05-02T07:23:04.255Z</dcterms:modified>
</cp:coreProperties>
</file>

<file path=docProps/custom.xml><?xml version="1.0" encoding="utf-8"?>
<Properties xmlns="http://schemas.openxmlformats.org/officeDocument/2006/custom-properties" xmlns:vt="http://schemas.openxmlformats.org/officeDocument/2006/docPropsVTypes"/>
</file>