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Page 1 – Executive Summary</w:t>
      </w:r>
    </w:p>
    <w:p>
      <w:r>
        <w:t>Following a full organizational review, the Ministry of Natural Resources and Rural Affairs (MNRRA) initiated a restructuring assessment to address operational fragmentation across regional forestry offices.</w:t>
      </w:r>
    </w:p>
    <w:p>
      <w:r>
        <w:t>Interviews with senior analysts, including Elena Morozov and Patrick Lalonde, identified recurring gaps in data governance and unauthorized access to restricted land parcel datasets.</w:t>
      </w:r>
    </w:p>
    <w:p>
      <w:r>
        <w:t>Public complaints continue to rise—one example came from Sarah J. Wilcox, 77 Pineberry Lane, Merriton—citing delays in environmental records disclosure.</w:t>
      </w:r>
    </w:p>
    <w:p/>
    <w:p>
      <w:r>
        <w:t>The Executive Secretariat requested draft recommendations, which include the consolidation of regional permitting workflows. These are pre‑decisional and fall under s.13.</w:t>
      </w:r>
    </w:p>
    <w:p/>
    <w:p>
      <w:r>
        <w:t>An investigative reference from the Enforcement and Compliance Bureau cites active case file ECB‑2025‑00378 regarding illegal timber removal methods. Investigation methods fall under s.15.</w:t>
      </w:r>
    </w:p>
    <w:p>
      <w:r>
        <w:br w:type="page"/>
      </w:r>
    </w:p>
    <w:p>
      <w:pPr>
        <w:pStyle w:val="Heading1"/>
      </w:pPr>
      <w:r>
        <w:t>Page 2 – Financial Overview</w:t>
      </w:r>
    </w:p>
    <w:p>
      <w:r>
        <w:t>MNRRA is currently evaluating a renewal contract with VerdantGeo Systems Inc. for its environmental modeling platform.</w:t>
      </w:r>
    </w:p>
    <w:p>
      <w:r>
        <w:t>The vendor submission includes commercially sensitive pricing:</w:t>
      </w:r>
    </w:p>
    <w:p>
      <w:r>
        <w:t>- Base annual platform fee: $629,400</w:t>
      </w:r>
    </w:p>
    <w:p>
      <w:r>
        <w:t>- Per hectare analysis module: $1.14</w:t>
      </w:r>
    </w:p>
    <w:p>
      <w:r>
        <w:t>- Proprietary algorithm tuning options and projected multi‑year margins</w:t>
      </w:r>
    </w:p>
    <w:p/>
    <w:p>
      <w:r>
        <w:t>These meet s.21 third party business protections.</w:t>
      </w:r>
    </w:p>
    <w:p/>
    <w:p>
      <w:r>
        <w:t>Internal payroll extracts were reviewed for work on the Watershed Integrity Pilot:</w:t>
      </w:r>
    </w:p>
    <w:p>
      <w:r>
        <w:t>- Employee ID MR442198, OT 63.5 hrs</w:t>
      </w:r>
    </w:p>
    <w:p>
      <w:r>
        <w:t>- Employee ID MR442611, OT 121.2 hrs</w:t>
      </w:r>
    </w:p>
    <w:p/>
    <w:p>
      <w:r>
        <w:t>This is personal information under s.22.</w:t>
      </w:r>
    </w:p>
    <w:p>
      <w:r>
        <w:br w:type="page"/>
      </w:r>
    </w:p>
    <w:p>
      <w:pPr>
        <w:pStyle w:val="Heading1"/>
      </w:pPr>
      <w:r>
        <w:t>Page 3 – Security and Incident Analysis</w:t>
      </w:r>
    </w:p>
    <w:p>
      <w:r>
        <w:t>A security audit conducted March 2025 on the Northern District Office identified:</w:t>
      </w:r>
    </w:p>
    <w:p>
      <w:r>
        <w:t>- Unsecured SFTP endpoint for ecological survey uploads</w:t>
      </w:r>
    </w:p>
    <w:p>
      <w:r>
        <w:t>- Legacy Windows Server 2012 instances inside the GIS cluster</w:t>
      </w:r>
    </w:p>
    <w:p>
      <w:r>
        <w:t>- A pattern of failed logins from 10.55.18.0/23 associated with a former subcontractor</w:t>
      </w:r>
    </w:p>
    <w:p/>
    <w:p>
      <w:r>
        <w:t>The Cyber Defence Group prepared an embedded threat assessment describing internal network segmentation, response playbooks, and sensor deployment locations. Releasing this could harm security under s.15.</w:t>
      </w:r>
    </w:p>
    <w:p/>
    <w:p>
      <w:r>
        <w:t>Incident logs include a complaint made by an unnamed whistleblower describing safety concerns and retaliation risk. Protected under s.22.</w:t>
      </w:r>
    </w:p>
    <w:p>
      <w:r>
        <w:br w:type="page"/>
      </w:r>
    </w:p>
    <w:p>
      <w:pPr>
        <w:pStyle w:val="Heading1"/>
      </w:pPr>
      <w:r>
        <w:t>Page 4 – Legal Memorandum (Privileged)</w:t>
      </w:r>
    </w:p>
    <w:p>
      <w:r>
        <w:t>The following pages contain excerpts from a privileged legal memorandum prepared for MNRRA by the Office of the Chief Legislative Counsel.</w:t>
      </w:r>
    </w:p>
    <w:p>
      <w:r>
        <w:t>Subject: Liability Exposure and Statutory Risk Review – Watershed Integrity Mandate Expansion.</w:t>
      </w:r>
    </w:p>
    <w:p/>
    <w:p>
      <w:r>
        <w:t>Summary:</w:t>
      </w:r>
    </w:p>
    <w:p>
      <w:r>
        <w:t>This memorandum analyzes statutory obligations under the Environmental Protection and Rural Lands Act (EP‑RLA), contractual exposure arising from multi‑agency watershed agreements, and potential liability triggered by insufficient monitoring of high‑risk zones.</w:t>
      </w:r>
    </w:p>
    <w:p/>
    <w:p>
      <w:r>
        <w:t>It provides legal advice on:</w:t>
      </w:r>
    </w:p>
    <w:p>
      <w:r>
        <w:t>- Crown duty of oversight in cross‑jurisdictional hydrological interventions</w:t>
      </w:r>
    </w:p>
    <w:p>
      <w:r>
        <w:t>- Exposure related to contractor omissions in high‑sensitivity wetland areas</w:t>
      </w:r>
    </w:p>
    <w:p>
      <w:r>
        <w:t>- Interfaces between ministerial decision‑making and administrative fairness expectations</w:t>
      </w:r>
    </w:p>
    <w:p>
      <w:r>
        <w:t>- Draft indemnity revisions requested by the Ministry of Public Safety</w:t>
      </w:r>
    </w:p>
    <w:p/>
    <w:p>
      <w:r>
        <w:t>This memo, its attachments, and communication threads between counsel and ADM Strickland are subject to solicitor‑client privilege under s.14.</w:t>
      </w:r>
    </w:p>
    <w:p>
      <w:r>
        <w:br w:type="page"/>
      </w:r>
    </w:p>
    <w:p>
      <w:pPr>
        <w:pStyle w:val="Heading1"/>
      </w:pPr>
      <w:r>
        <w:t>Page 5 – Legal Opinion (Continuation)</w:t>
      </w:r>
    </w:p>
    <w:p>
      <w:r>
        <w:t>Detailed Analysis:</w:t>
      </w:r>
    </w:p>
    <w:p/>
    <w:p>
      <w:r>
        <w:t>1. Regulatory Interpretation</w:t>
      </w:r>
    </w:p>
    <w:p>
      <w:r>
        <w:t>The EP‑RLA creates overlapping oversight obligations between basin authorities and the Crown. Counsel notes ambiguity in s.34(2)(b) concerning shared remediation duties.</w:t>
      </w:r>
    </w:p>
    <w:p/>
    <w:p>
      <w:r>
        <w:t>2. Risk Allocation</w:t>
      </w:r>
    </w:p>
    <w:p>
      <w:r>
        <w:t>Several historical agreements rely on outdated indemnity frameworks. Counsel recommends replacing unilateral indemnities with mutual caps and explicit exceptions for gross negligence.</w:t>
      </w:r>
    </w:p>
    <w:p/>
    <w:p>
      <w:r>
        <w:t>3. Case Law Review</w:t>
      </w:r>
    </w:p>
    <w:p>
      <w:r>
        <w:t>Relevant case references include hypothetical precedent Marlton Basin Assn. v. Crown (2021 SCC 18), which emphasized procedural adequacy in watershed interventions.</w:t>
      </w:r>
    </w:p>
    <w:p/>
    <w:p>
      <w:r>
        <w:t>4. Scenario‑Based Exposure Modeling</w:t>
      </w:r>
    </w:p>
    <w:p>
      <w:r>
        <w:t>Counsel prepared three liability scenarios:</w:t>
      </w:r>
    </w:p>
    <w:p>
      <w:r>
        <w:t>- Failure to monitor upstream sediment displacement</w:t>
      </w:r>
    </w:p>
    <w:p>
      <w:r>
        <w:t>- Contractor noncompliance detected but not escalated</w:t>
      </w:r>
    </w:p>
    <w:p>
      <w:r>
        <w:t>- Misinterpretation of EP‑RLA thresholds during spring runoff</w:t>
      </w:r>
    </w:p>
    <w:p/>
    <w:p>
      <w:r>
        <w:t>5. Recommendations</w:t>
      </w:r>
    </w:p>
    <w:p>
      <w:r>
        <w:t>Legal Services advises the Ministry to implement interim guidance to regional directors, adjust procurement templates, and delay finalizing the mandate expansion.</w:t>
      </w:r>
    </w:p>
    <w:p/>
    <w:p>
      <w:r>
        <w:t>All content on this page is privileged under s.14.</w:t>
      </w:r>
    </w:p>
    <w:p>
      <w:r>
        <w:br w:type="page"/>
      </w:r>
    </w:p>
    <w:p>
      <w:pPr>
        <w:pStyle w:val="Heading1"/>
      </w:pPr>
      <w:r>
        <w:t>Page 6 – Legal Opinion (Continuation)</w:t>
      </w:r>
    </w:p>
    <w:p>
      <w:r>
        <w:t>Detailed Analysis:</w:t>
      </w:r>
    </w:p>
    <w:p/>
    <w:p>
      <w:r>
        <w:t>1. Regulatory Interpretation</w:t>
      </w:r>
    </w:p>
    <w:p>
      <w:r>
        <w:t>The EP‑RLA creates overlapping oversight obligations between basin authorities and the Crown. Counsel notes ambiguity in s.34(2)(b) concerning shared remediation duties.</w:t>
      </w:r>
    </w:p>
    <w:p/>
    <w:p>
      <w:r>
        <w:t>2. Risk Allocation</w:t>
      </w:r>
    </w:p>
    <w:p>
      <w:r>
        <w:t>Several historical agreements rely on outdated indemnity frameworks. Counsel recommends replacing unilateral indemnities with mutual caps and explicit exceptions for gross negligence.</w:t>
      </w:r>
    </w:p>
    <w:p/>
    <w:p>
      <w:r>
        <w:t>3. Case Law Review</w:t>
      </w:r>
    </w:p>
    <w:p>
      <w:r>
        <w:t>Relevant case references include hypothetical precedent Marlton Basin Assn. v. Crown (2021 SCC 18), which emphasized procedural adequacy in watershed interventions.</w:t>
      </w:r>
    </w:p>
    <w:p/>
    <w:p>
      <w:r>
        <w:t>4. Scenario‑Based Exposure Modeling</w:t>
      </w:r>
    </w:p>
    <w:p>
      <w:r>
        <w:t>Counsel prepared three liability scenarios:</w:t>
      </w:r>
    </w:p>
    <w:p>
      <w:r>
        <w:t>- Failure to monitor upstream sediment displacement</w:t>
      </w:r>
    </w:p>
    <w:p>
      <w:r>
        <w:t>- Contractor noncompliance detected but not escalated</w:t>
      </w:r>
    </w:p>
    <w:p>
      <w:r>
        <w:t>- Misinterpretation of EP‑RLA thresholds during spring runoff</w:t>
      </w:r>
    </w:p>
    <w:p/>
    <w:p>
      <w:r>
        <w:t>5. Recommendations</w:t>
      </w:r>
    </w:p>
    <w:p>
      <w:r>
        <w:t>Legal Services advises the Ministry to implement interim guidance to regional directors, adjust procurement templates, and delay finalizing the mandate expansion.</w:t>
      </w:r>
    </w:p>
    <w:p/>
    <w:p>
      <w:r>
        <w:t>All content on this page is privileged under s.14.</w:t>
      </w:r>
    </w:p>
    <w:p>
      <w:r>
        <w:br w:type="page"/>
      </w:r>
    </w:p>
    <w:p>
      <w:pPr>
        <w:pStyle w:val="Heading1"/>
      </w:pPr>
      <w:r>
        <w:t>Page 7 – Legal Opinion (Continuation)</w:t>
      </w:r>
    </w:p>
    <w:p>
      <w:r>
        <w:t>Detailed Analysis:</w:t>
      </w:r>
    </w:p>
    <w:p/>
    <w:p>
      <w:r>
        <w:t>1. Regulatory Interpretation</w:t>
      </w:r>
    </w:p>
    <w:p>
      <w:r>
        <w:t>The EP‑RLA creates overlapping oversight obligations between basin authorities and the Crown. Counsel notes ambiguity in s.34(2)(b) concerning shared remediation duties.</w:t>
      </w:r>
    </w:p>
    <w:p/>
    <w:p>
      <w:r>
        <w:t>2. Risk Allocation</w:t>
      </w:r>
    </w:p>
    <w:p>
      <w:r>
        <w:t>Several historical agreements rely on outdated indemnity frameworks. Counsel recommends replacing unilateral indemnities with mutual caps and explicit exceptions for gross negligence.</w:t>
      </w:r>
    </w:p>
    <w:p/>
    <w:p>
      <w:r>
        <w:t>3. Case Law Review</w:t>
      </w:r>
    </w:p>
    <w:p>
      <w:r>
        <w:t>Relevant case references include hypothetical precedent Marlton Basin Assn. v. Crown (2021 SCC 18), which emphasized procedural adequacy in watershed interventions.</w:t>
      </w:r>
    </w:p>
    <w:p/>
    <w:p>
      <w:r>
        <w:t>4. Scenario‑Based Exposure Modeling</w:t>
      </w:r>
    </w:p>
    <w:p>
      <w:r>
        <w:t>Counsel prepared three liability scenarios:</w:t>
      </w:r>
    </w:p>
    <w:p>
      <w:r>
        <w:t>- Failure to monitor upstream sediment displacement</w:t>
      </w:r>
    </w:p>
    <w:p>
      <w:r>
        <w:t>- Contractor noncompliance detected but not escalated</w:t>
      </w:r>
    </w:p>
    <w:p>
      <w:r>
        <w:t>- Misinterpretation of EP‑RLA thresholds during spring runoff</w:t>
      </w:r>
    </w:p>
    <w:p/>
    <w:p>
      <w:r>
        <w:t>5. Recommendations</w:t>
      </w:r>
    </w:p>
    <w:p>
      <w:r>
        <w:t>Legal Services advises the Ministry to implement interim guidance to regional directors, adjust procurement templates, and delay finalizing the mandate expansion.</w:t>
      </w:r>
    </w:p>
    <w:p/>
    <w:p>
      <w:r>
        <w:t>All content on this page is privileged under s.14.</w:t>
      </w:r>
    </w:p>
    <w:p>
      <w:r>
        <w:br w:type="page"/>
      </w:r>
    </w:p>
    <w:p>
      <w:pPr>
        <w:pStyle w:val="Heading1"/>
      </w:pPr>
      <w:r>
        <w:t>Page 8 – Litigation Risk Overview</w:t>
      </w:r>
    </w:p>
    <w:p>
      <w:r>
        <w:t>The Legal Services Division maintains ongoing files related to land management disputes:</w:t>
      </w:r>
    </w:p>
    <w:p>
      <w:r>
        <w:t>- NRT‑CIV‑5542‑25, arbitration scheduled March 2026</w:t>
      </w:r>
    </w:p>
    <w:p>
      <w:r>
        <w:t>- WLD‑CIV‑8821‑24, discovery extension requested</w:t>
      </w:r>
    </w:p>
    <w:p>
      <w:r>
        <w:t>- ENV‑LIT‑1148‑25, jurisdictional motion pending</w:t>
      </w:r>
    </w:p>
    <w:p/>
    <w:p>
      <w:r>
        <w:t>Some include sealed affidavits containing personal information and expert methodologies. Disclosure could harm financial interests under s.17.</w:t>
      </w:r>
    </w:p>
    <w:p>
      <w:r>
        <w:br w:type="page"/>
      </w:r>
    </w:p>
    <w:p>
      <w:pPr>
        <w:pStyle w:val="Heading1"/>
      </w:pPr>
      <w:r>
        <w:t>Page 9 – Draft Internal Options</w:t>
      </w:r>
    </w:p>
    <w:p>
      <w:r>
        <w:t>Policy Analysis Unit prepared early‑stage concepts for the Watershed Integrity Mandate refresh.</w:t>
      </w:r>
    </w:p>
    <w:p/>
    <w:p>
      <w:r>
        <w:t>Options (Draft Only):</w:t>
      </w:r>
    </w:p>
    <w:p>
      <w:r>
        <w:t>1. Consolidate regional hydrological modeling teams into a single provincial centre.</w:t>
      </w:r>
    </w:p>
    <w:p>
      <w:r>
        <w:t>2. Maintain distributed model while centralizing QA functions.</w:t>
      </w:r>
    </w:p>
    <w:p>
      <w:r>
        <w:t>3. Introduce a hybrid approach with shared surge capacity.</w:t>
      </w:r>
    </w:p>
    <w:p/>
    <w:p>
      <w:r>
        <w:t>Notes show disagreement between directors regarding cost estimates and risk tolerance. This is pre‑decisional policy advice under s.13.</w:t>
      </w:r>
    </w:p>
    <w:p/>
    <w:p>
      <w:r>
        <w:t>Attached working notes include personal emails and direct contact numbers for members of a stakeholder advisory circle. These details should be removed under s.22.</w:t>
      </w:r>
    </w:p>
    <w:p>
      <w:r>
        <w:br w:type="page"/>
      </w:r>
    </w:p>
    <w:p>
      <w:pPr>
        <w:pStyle w:val="Heading1"/>
      </w:pPr>
      <w:r>
        <w:t>Page 10 – Draft Internal Options</w:t>
      </w:r>
    </w:p>
    <w:p>
      <w:r>
        <w:t>Policy Analysis Unit prepared early‑stage concepts for the Watershed Integrity Mandate refresh.</w:t>
      </w:r>
    </w:p>
    <w:p/>
    <w:p>
      <w:r>
        <w:t>Options (Draft Only):</w:t>
      </w:r>
    </w:p>
    <w:p>
      <w:r>
        <w:t>1. Consolidate regional hydrological modeling teams into a single provincial centre.</w:t>
      </w:r>
    </w:p>
    <w:p>
      <w:r>
        <w:t>2. Maintain distributed model while centralizing QA functions.</w:t>
      </w:r>
    </w:p>
    <w:p>
      <w:r>
        <w:t>3. Introduce a hybrid approach with shared surge capacity.</w:t>
      </w:r>
    </w:p>
    <w:p/>
    <w:p>
      <w:r>
        <w:t>Notes show disagreement between directors regarding cost estimates and risk tolerance. This is pre‑decisional policy advice under s.13.</w:t>
      </w:r>
    </w:p>
    <w:p/>
    <w:p>
      <w:r>
        <w:t>Attached working notes include personal emails and direct contact numbers for members of a stakeholder advisory circle. These details should be removed under s.22.</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