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Procurement Policy</w:t>
      </w:r>
    </w:p>
    <w:p>
      <w:r>
        <w:rPr>
          <w:i/>
        </w:rPr>
        <w:t>Version 2.1  -  Effective March 1, 2026</w:t>
      </w:r>
    </w:p>
    <w:p>
      <w:pPr>
        <w:pStyle w:val="Heading1"/>
      </w:pPr>
      <w:r>
        <w:t>1. Scope</w:t>
      </w:r>
    </w:p>
    <w:p>
      <w:r>
        <w:t>This policy governs the procurement of information-technology goods and services for the BlackBar organization. It applies to all expenditures funded from the IT budget, regardless of source.</w:t>
      </w:r>
    </w:p>
    <w:p>
      <w:pPr>
        <w:pStyle w:val="Heading1"/>
      </w:pPr>
      <w:r>
        <w:t>2. Authority and Roles</w:t>
      </w:r>
    </w:p>
    <w:p>
      <w:r>
        <w:t>The IT Director (Casey Morgan, [email protected]) is responsible for procurement decisions up to the single-vendor limit of $75,000. The Procurement Committee reviews requests above that threshold. The FOI Coordinator (Riley Chen, [email protected]) retains all award documents for the statutory five-year period.</w:t>
      </w:r>
    </w:p>
    <w:p>
      <w:pPr>
        <w:pStyle w:val="Heading1"/>
      </w:pPr>
      <w:r>
        <w:t>3. Award Thresholds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Contract value</w:t>
            </w:r>
          </w:p>
        </w:tc>
        <w:tc>
          <w:tcPr>
            <w:tcW w:type="dxa" w:w="4320"/>
          </w:tcPr>
          <w:p>
            <w:r>
              <w:rPr>
                <w:b/>
                <w:sz w:val="22"/>
              </w:rPr>
              <w:t>Required process</w:t>
            </w:r>
          </w:p>
        </w:tc>
      </w:tr>
      <w:tr>
        <w:tc>
          <w:tcPr>
            <w:tcW w:type="dxa" w:w="4320"/>
          </w:tcPr>
          <w:p>
            <w:r>
              <w:t>Up to $5,000</w:t>
            </w:r>
          </w:p>
        </w:tc>
        <w:tc>
          <w:tcPr>
            <w:tcW w:type="dxa" w:w="4320"/>
          </w:tcPr>
          <w:p>
            <w:r>
              <w:t>Direct award (single quote)</w:t>
            </w:r>
          </w:p>
        </w:tc>
      </w:tr>
      <w:tr>
        <w:tc>
          <w:tcPr>
            <w:tcW w:type="dxa" w:w="4320"/>
          </w:tcPr>
          <w:p>
            <w:r>
              <w:t>$5,001 - $74,999</w:t>
            </w:r>
          </w:p>
        </w:tc>
        <w:tc>
          <w:tcPr>
            <w:tcW w:type="dxa" w:w="4320"/>
          </w:tcPr>
          <w:p>
            <w:r>
              <w:t>Three written quotes; IT Director approval</w:t>
            </w:r>
          </w:p>
        </w:tc>
      </w:tr>
      <w:tr>
        <w:tc>
          <w:tcPr>
            <w:tcW w:type="dxa" w:w="4320"/>
          </w:tcPr>
          <w:p>
            <w:r>
              <w:t>$75,000 and over</w:t>
            </w:r>
          </w:p>
        </w:tc>
        <w:tc>
          <w:tcPr>
            <w:tcW w:type="dxa" w:w="4320"/>
          </w:tcPr>
          <w:p>
            <w:r>
              <w:t>Competitive RFP; Procurement Committee approval</w:t>
            </w:r>
          </w:p>
        </w:tc>
      </w:tr>
    </w:tbl>
    <w:p>
      <w:pPr>
        <w:pStyle w:val="Heading1"/>
      </w:pPr>
      <w:r>
        <w:t>4. Documentation Requirements</w:t>
      </w:r>
    </w:p>
    <w:p>
      <w:r>
        <w:t>Each award must be supported by: (a) the original request, (b) the evaluation matrix, (c) the signed contract, and (d) the procurement officer's recommendation memo. These records are subject to FOI release under the standard redaction schedule (personal identifiers redacted; contract values and vendor names released).</w:t>
      </w:r>
    </w:p>
    <w:p>
      <w:pPr>
        <w:pStyle w:val="Heading1"/>
      </w:pPr>
      <w:r>
        <w:t>5. Conflict of Interest</w:t>
      </w:r>
    </w:p>
    <w:p>
      <w:r>
        <w:t>Procurement officers must declare any personal or financial relationship with a bidding vendor before any evaluation activity. Declarations are retained by the FOI Coordinator and are not themselves subject to release.</w:t>
      </w:r>
    </w:p>
    <w:p>
      <w:pPr>
        <w:pStyle w:val="Heading1"/>
      </w:pPr>
      <w:r>
        <w:t>6. Contact</w:t>
      </w:r>
    </w:p>
    <w:p>
      <w:r>
        <w:t>Questions about this policy should be directed to Casey Morgan at [email protected] or via the procurement intake line at 555-0144.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