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Evaluation Memo</w:t>
      </w:r>
    </w:p>
    <w:p>
      <w:r>
        <w:rPr>
          <w:b/>
        </w:rPr>
        <w:t>Coastal Crown Services Authority — Procurement &amp; Vendor Management</w:t>
      </w:r>
    </w:p>
    <w:p>
      <w:r>
        <w:rPr>
          <w:b/>
        </w:rPr>
        <w:t>Subject:</w:t>
      </w:r>
      <w:r>
        <w:t xml:space="preserve"> Evaluation of TrustLab Inc proposal — Fractional CIO advisory services (RFP CCSA-2025-FCIO-014)</w:t>
      </w:r>
    </w:p>
    <w:p>
      <w:r>
        <w:rPr>
          <w:b/>
        </w:rPr>
        <w:t>To:</w:t>
      </w:r>
      <w:r>
        <w:t xml:space="preserve"> Selection Committee (S. Marquand, D. Patel, K. Yamashita) </w:t>
      </w:r>
      <w:r>
        <w:rPr>
          <w:b/>
        </w:rPr>
        <w:t>From:</w:t>
      </w:r>
      <w:r>
        <w:t xml:space="preserve"> Riley Chen, Manager, Procurement &amp; Vendor Management </w:t>
      </w:r>
      <w:r>
        <w:rPr>
          <w:b/>
        </w:rPr>
        <w:t>Date:</w:t>
      </w:r>
      <w:r>
        <w:t xml:space="preserve"> 17 October 2025 </w:t>
      </w:r>
      <w:r>
        <w:rPr>
          <w:b/>
        </w:rPr>
        <w:t>Classification:</w:t>
      </w:r>
      <w:r>
        <w:t xml:space="preserve"> Internal — Procurement deliberations </w:t>
      </w:r>
      <w:r>
        <w:rPr>
          <w:b/>
        </w:rPr>
        <w:t>Distribution:</w:t>
      </w:r>
      <w:r>
        <w:t xml:space="preserve"> Selection Committee only; do not forward.</w:t>
      </w:r>
    </w:p>
    <w:p/>
    <w:p>
      <w:pPr>
        <w:pStyle w:val="Heading1"/>
      </w:pPr>
      <w:r>
        <w:t>1. Summary</w:t>
      </w:r>
    </w:p>
    <w:p>
      <w:r>
        <w:t xml:space="preserve">CCSA received four proposals in response to RFP CCSA-2025-FCIO-014. This memo evaluates the proposal from </w:t>
      </w:r>
      <w:r>
        <w:rPr>
          <w:b/>
        </w:rPr>
        <w:t>TrustLab Inc</w:t>
      </w:r>
      <w:r>
        <w:t xml:space="preserve"> (principal: Matt Crossley) against the published criteria and records the Selection Committee's preliminary view ahead of the 24 October short-list meeting.</w:t>
      </w:r>
    </w:p>
    <w:p>
      <w:r>
        <w:t xml:space="preserve">Recommendation: </w:t>
      </w:r>
      <w:r>
        <w:rPr>
          <w:b/>
        </w:rPr>
        <w:t>shortlist for interview</w:t>
      </w:r>
      <w:r>
        <w:t>, with the qualifications noted in Section 5.</w:t>
      </w:r>
    </w:p>
    <w:p/>
    <w:p>
      <w:pPr>
        <w:pStyle w:val="Heading1"/>
      </w:pPr>
      <w:r>
        <w:t>2. Proposal in brief</w:t>
      </w:r>
    </w:p>
    <w:p>
      <w:r>
        <w:t>TrustLab Inc is a Victoria-based advisory firm with a single principal (Matt Crossley). The proposal is for a 0.4 FTE fractional CIO engagement over an initial six-month term, with the principal personally delivering the work (no sub-contracting, no staff augmentation). The proposed day rate is in the upper third of the rate cards received but is defensible against the principal's stated track record. A copy of the proposal letter and the principal's CV are attached.</w:t>
      </w:r>
    </w:p>
    <w:p>
      <w:pPr>
        <w:pStyle w:val="Heading1"/>
      </w:pPr>
      <w:r>
        <w:t>3. Evaluation against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Score (1-5)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Executive IT experience in public sector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Recent CIO at Camosun (public post-secondary). Current Director-level role at BC Transit.</w:t>
            </w:r>
          </w:p>
        </w:tc>
      </w:tr>
      <w:tr>
        <w:tc>
          <w:tcPr>
            <w:tcW w:type="dxa" w:w="2160"/>
          </w:tcPr>
          <w:p>
            <w:r/>
            <w:r>
              <w:t>Governance and portfolio discipline</w:t>
            </w:r>
          </w:p>
        </w:tc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Track record of building EA, PMO, and portfolio governance from scratch at BC Transit.</w:t>
            </w:r>
          </w:p>
        </w:tc>
      </w:tr>
      <w:tr>
        <w:tc>
          <w:tcPr>
            <w:tcW w:type="dxa" w:w="2160"/>
          </w:tcPr>
          <w:p>
            <w:r/>
            <w:r>
              <w:t>Cybersecurity and FOIPPA literacy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Established first cybersecurity programme at Camosun; current FOIPPA oversight. Has not led a SOC at scale.</w:t>
            </w:r>
          </w:p>
        </w:tc>
      </w:tr>
      <w:tr>
        <w:tc>
          <w:tcPr>
            <w:tcW w:type="dxa" w:w="2160"/>
          </w:tcPr>
          <w:p>
            <w:r/>
            <w:r>
              <w:t>Cultural fit and stakeholder engagement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Strong on stakeholder rhetoric in proposal; needs validation in interview.</w:t>
            </w:r>
          </w:p>
        </w:tc>
      </w:tr>
      <w:tr>
        <w:tc>
          <w:tcPr>
            <w:tcW w:type="dxa" w:w="2160"/>
          </w:tcPr>
          <w:p>
            <w:r/>
            <w:r>
              <w:t>Rate and engagement model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Upper-third day rate; engagement model (0.4 FTE, hybrid on-site) is workable but tighter than two competing proposals.</w:t>
            </w:r>
          </w:p>
        </w:tc>
      </w:tr>
      <w:tr>
        <w:tc>
          <w:tcPr>
            <w:tcW w:type="dxa" w:w="2160"/>
          </w:tcPr>
          <w:p>
            <w:r/>
            <w:r>
              <w:t>Local presence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Based in Victoria; no travel surcharge.</w:t>
            </w:r>
          </w:p>
        </w:tc>
      </w:tr>
    </w:tbl>
    <w:p>
      <w:r>
        <w:t xml:space="preserve">Weighted score: </w:t>
      </w:r>
      <w:r>
        <w:rPr>
          <w:b/>
        </w:rPr>
        <w:t>4.35 / 5</w:t>
      </w:r>
      <w:r>
        <w:t>. TrustLab is the highest-scoring of the four proposals received.</w:t>
      </w:r>
    </w:p>
    <w:p>
      <w:pPr>
        <w:pStyle w:val="Heading1"/>
      </w:pPr>
      <w:r>
        <w:t>4. Selection Committee comments</w:t>
      </w:r>
    </w:p>
    <w:p>
      <w:r>
        <w:t>The following comments were captured at the 15 October 2025 informal review. They are recorded for the Committee's internal use and should not be released externally.</w:t>
      </w:r>
    </w:p>
    <w:p>
      <w:pPr>
        <w:pStyle w:val="ListBullet"/>
      </w:pPr>
      <w:r>
        <w:rPr>
          <w:b/>
        </w:rPr>
        <w:t>S. Marquand (Director, Information &amp; Privacy):</w:t>
      </w:r>
      <w:r>
        <w:t xml:space="preserve"> "Strongest paper candidate of the four. My concern is that the principal is currently in a full-time senior role at BC Transit; we need to satisfy ourselves that the 0.4 FTE commitment is realistic and that there is no conflict-of-interest exposure given some overlap in our supplier base with BC Transit's. Recommend probe in interview."</w:t>
      </w:r>
    </w:p>
    <w:p>
      <w:pPr>
        <w:pStyle w:val="ListBullet"/>
      </w:pPr>
      <w:r>
        <w:rPr>
          <w:b/>
        </w:rPr>
        <w:t>D. Patel (Director, Finance):</w:t>
      </w:r>
      <w:r>
        <w:t xml:space="preserve"> "Rate is at the top of the range but I can defend it if the executive footprint is what's proposed. Would want to see one or two named references from CIO-level peers before we sign. The fact that he's a Royal Roads MBA alumnus is not a selection criterion but it doesn't hurt with our Board."</w:t>
      </w:r>
    </w:p>
    <w:p>
      <w:pPr>
        <w:pStyle w:val="ListBullet"/>
      </w:pPr>
      <w:r>
        <w:rPr>
          <w:b/>
        </w:rPr>
        <w:t>K. Yamashita (Manager, Digital Strategy):</w:t>
      </w:r>
      <w:r>
        <w:t xml:space="preserve"> "I've worked indirectly with the principal on a paratransit interoperability working group through MoTI. He's the real thing on delivery. My only hesitation is the same as Susan's: bandwidth. Strongly support short-listing."</w:t>
      </w:r>
    </w:p>
    <w:p>
      <w:pPr>
        <w:pStyle w:val="Heading1"/>
      </w:pPr>
      <w:r>
        <w:t>5. Risks and qualifications</w:t>
      </w:r>
    </w:p>
    <w:p>
      <w:pPr>
        <w:pStyle w:val="ListBullet"/>
      </w:pPr>
      <w:r>
        <w:rPr>
          <w:b/>
        </w:rPr>
        <w:t>Bandwidth risk (high).</w:t>
      </w:r>
      <w:r>
        <w:t xml:space="preserve"> The principal's current Director-level role at BC Transit is itself a full-time accountability. The 0.4 FTE proposed commitment may be optimistic. </w:t>
      </w:r>
      <w:r>
        <w:rPr>
          <w:b/>
        </w:rPr>
        <w:t>Mitigation:</w:t>
      </w:r>
      <w:r>
        <w:t xml:space="preserve"> probe in interview; consider a written conflict-of-interest declaration as a precondition of contract.</w:t>
      </w:r>
    </w:p>
    <w:p>
      <w:pPr>
        <w:pStyle w:val="ListBullet"/>
      </w:pPr>
      <w:r>
        <w:rPr>
          <w:b/>
        </w:rPr>
        <w:t>Conflict-of-interest exposure (medium).</w:t>
      </w:r>
      <w:r>
        <w:t xml:space="preserve"> Overlap between CCSA's vendor base and BC Transit's, especially in cybersecurity and cloud-infrastructure tiers. </w:t>
      </w:r>
      <w:r>
        <w:rPr>
          <w:b/>
        </w:rPr>
        <w:t>Mitigation:</w:t>
      </w:r>
      <w:r>
        <w:t xml:space="preserve"> require a recusal protocol for any procurement decision involving a shared vendor.</w:t>
      </w:r>
    </w:p>
    <w:p>
      <w:pPr>
        <w:pStyle w:val="ListBullet"/>
      </w:pPr>
      <w:r>
        <w:rPr>
          <w:b/>
        </w:rPr>
        <w:t>Single-principal delivery model (low).</w:t>
      </w:r>
      <w:r>
        <w:t xml:space="preserve"> TrustLab is a sole practitioner; bus-factor risk if the principal is unavailable. The proposal acknowledges this and offers a 30-day exit ramp. Acceptable for an advisory engagement of this scope.</w:t>
      </w:r>
    </w:p>
    <w:p>
      <w:pPr>
        <w:pStyle w:val="Heading1"/>
      </w:pPr>
      <w:r>
        <w:t>6. Recommended next steps</w:t>
      </w:r>
    </w:p>
    <w:p>
      <w:pPr>
        <w:pStyle w:val="ListNumber"/>
      </w:pPr>
      <w:r>
        <w:rPr>
          <w:b/>
        </w:rPr>
        <w:t>Shortlist</w:t>
      </w:r>
      <w:r>
        <w:t xml:space="preserve"> TrustLab Inc for interview alongside the second-highest scoring proposal (Vendor B — see separate memo).</w:t>
      </w:r>
    </w:p>
    <w:p>
      <w:pPr>
        <w:pStyle w:val="ListNumber"/>
      </w:pPr>
      <w:r>
        <w:rPr>
          <w:b/>
        </w:rPr>
        <w:t>Reference checks</w:t>
      </w:r>
      <w:r>
        <w:t xml:space="preserve"> with two named senior clients prior to the interview. The principal has indicated references are available on request.</w:t>
      </w:r>
    </w:p>
    <w:p>
      <w:pPr>
        <w:pStyle w:val="ListNumber"/>
      </w:pPr>
      <w:r>
        <w:rPr>
          <w:b/>
        </w:rPr>
        <w:t>Interview</w:t>
      </w:r>
      <w:r>
        <w:t xml:space="preserve"> week of 27 October 2025, in person at CCSA Victoria offices. Standard interview panel: S. Marquand, D. Patel, K. Yamashita, plus VP Corporate Services as observer.</w:t>
      </w:r>
    </w:p>
    <w:p/>
    <w:p>
      <w:r>
        <w:rPr>
          <w:b/>
        </w:rPr>
        <w:t>Sign-off:</w:t>
      </w:r>
      <w:r>
        <w:t xml:space="preserve"> Riley Chen, Manager, Procurement &amp; Vendor Management riley.chen@ccsa-bc.example.org | 555-0143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