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 1 – Executive Summary</w:t>
      </w:r>
    </w:p>
    <w:p>
      <w:r>
        <w:t>The Strategic Services Division conducted a review of operational performance across all regions.</w:t>
      </w:r>
    </w:p>
    <w:p>
      <w:r>
        <w:t>During interviews, several staff members, including Maria Santos, Timothy Kerr, and Jamal Greene, raised concerns about inappropriate access to scheduling data.</w:t>
      </w:r>
    </w:p>
    <w:p>
      <w:r>
        <w:t>Customer feedback from individuals such as Robert L. Archer, 2218 Malvern Rd, Victoria, indicated inconsistent service reliability in Route Group 4.</w:t>
      </w:r>
    </w:p>
    <w:p/>
    <w:p>
      <w:r>
        <w:t>A draft recommendation has been prepared for Executive Leadership that proposes restructuring two service lines. This recommendation is considered policy advice under s.13.</w:t>
      </w:r>
    </w:p>
    <w:p/>
    <w:p>
      <w:r>
        <w:t>A separate incident report was provided by the Cybersecurity Response Unit, referencing investigation file CRU-2025-4417, which remains active. Details of investigative techniques are included under s.15.</w:t>
      </w:r>
    </w:p>
    <w:p>
      <w:r>
        <w:br w:type="page"/>
      </w:r>
    </w:p>
    <w:p>
      <w:pPr>
        <w:pStyle w:val="Heading1"/>
      </w:pPr>
      <w:r>
        <w:t>Page 2 – Financial Overview</w:t>
      </w:r>
    </w:p>
    <w:p>
      <w:r>
        <w:t>The corporation is currently negotiating a renewal with North Coast Analytics Ltd., who supplied the predictive maintenance platform. Their proposal contains proprietary pricing, including:</w:t>
      </w:r>
    </w:p>
    <w:p>
      <w:r>
        <w:t>- Annual license fee: $412,900</w:t>
      </w:r>
    </w:p>
    <w:p>
      <w:r>
        <w:t>- Per unit sensor rate: $287</w:t>
      </w:r>
    </w:p>
    <w:p>
      <w:r>
        <w:t>- Discount tiers and margin breakdowns marked as confidential</w:t>
      </w:r>
    </w:p>
    <w:p/>
    <w:p>
      <w:r>
        <w:t>These materials meet third party business interests protections under s.21.</w:t>
      </w:r>
    </w:p>
    <w:p/>
    <w:p>
      <w:r>
        <w:t>Internal payroll extracts show overtime for specific employees assigned to the realignment pilot:</w:t>
      </w:r>
    </w:p>
    <w:p>
      <w:r>
        <w:t>- Employee ID BC485992, total OT 89.5 hours</w:t>
      </w:r>
    </w:p>
    <w:p>
      <w:r>
        <w:t>- Employee ID BC388124, total OT 112.0 hours</w:t>
      </w:r>
    </w:p>
    <w:p/>
    <w:p>
      <w:r>
        <w:t>This constitutes personal information under s.22.</w:t>
      </w:r>
    </w:p>
    <w:p>
      <w:r>
        <w:br w:type="page"/>
      </w:r>
    </w:p>
    <w:p>
      <w:pPr>
        <w:pStyle w:val="Heading1"/>
      </w:pPr>
      <w:r>
        <w:t>Page 3 – Security and Incident Analysis</w:t>
      </w:r>
    </w:p>
    <w:p>
      <w:r>
        <w:t>A vulnerability assessment performed on April 12, 2025 identified several weaknesses in the depot network:</w:t>
      </w:r>
    </w:p>
    <w:p>
      <w:r>
        <w:t>- Unpatched firmware in Zone B gate controllers</w:t>
      </w:r>
    </w:p>
    <w:p>
      <w:r>
        <w:t>- Legacy VPN client used by field staff</w:t>
      </w:r>
    </w:p>
    <w:p>
      <w:r>
        <w:t>- Access attempts from IP block 192.168.54.0/24 linked to a former contractor</w:t>
      </w:r>
    </w:p>
    <w:p/>
    <w:p>
      <w:r>
        <w:t>The assessment cites an internal threat model created by the Corporate Security Unit. Disclosure may harm security or law enforcement under s.15.</w:t>
      </w:r>
    </w:p>
    <w:p/>
    <w:p>
      <w:r>
        <w:t>The report references a complaint submitted by an individual requesting anonymity, describing safety concerns about a supervisor. This is protected personal information under s.22.</w:t>
      </w:r>
    </w:p>
    <w:p>
      <w:r>
        <w:br w:type="page"/>
      </w:r>
    </w:p>
    <w:p>
      <w:pPr>
        <w:pStyle w:val="Heading1"/>
      </w:pPr>
      <w:r>
        <w:t>Page 4 – Legal and Contractual Materials</w:t>
      </w:r>
    </w:p>
    <w:p>
      <w:r>
        <w:t>The Legal Services Branch provided a privileged memorandum titled “Analysis of Liability Exposure Related to the Realignment Plan.”</w:t>
      </w:r>
    </w:p>
    <w:p>
      <w:r>
        <w:t>It includes legal opinion on indemnity exposure and quotes emails between counsel and Executive.</w:t>
      </w:r>
    </w:p>
    <w:p>
      <w:r>
        <w:t>This is solicitor client privileged information under s.14.</w:t>
      </w:r>
    </w:p>
    <w:p/>
    <w:p>
      <w:r>
        <w:t>It also lists upcoming litigation matters:</w:t>
      </w:r>
    </w:p>
    <w:p>
      <w:r>
        <w:t>- BCSC-FL-32177-25, mediation Dec 2025</w:t>
      </w:r>
    </w:p>
    <w:p>
      <w:r>
        <w:t>- LAU-INT-5521, preliminary discovery underway</w:t>
      </w:r>
    </w:p>
    <w:p/>
    <w:p>
      <w:r>
        <w:t>Release could harm financial interests under s.17.</w:t>
      </w:r>
    </w:p>
    <w:p>
      <w:r>
        <w:br w:type="page"/>
      </w:r>
    </w:p>
    <w:p>
      <w:pPr>
        <w:pStyle w:val="Heading1"/>
      </w:pPr>
      <w:r>
        <w:t>Page 5 – Draft Options and Internal Deliberations</w:t>
      </w:r>
    </w:p>
    <w:p>
      <w:r>
        <w:t>Policy team members prepared draft options for restructuring dispatch functions:</w:t>
      </w:r>
    </w:p>
    <w:p>
      <w:r>
        <w:t>1. Centralized operating model</w:t>
      </w:r>
    </w:p>
    <w:p>
      <w:r>
        <w:t>2. Hybrid dispatch model</w:t>
      </w:r>
    </w:p>
    <w:p>
      <w:r>
        <w:t>3. Retain regional autonomy</w:t>
      </w:r>
    </w:p>
    <w:p/>
    <w:p>
      <w:r>
        <w:t>Notes reflect internal debate and early assumptions. This is policy advice under s.13.</w:t>
      </w:r>
    </w:p>
    <w:p/>
    <w:p>
      <w:r>
        <w:t>The stakeholder list includes personal emails and phone numbers requiring redaction under s.22.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