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 – Executive Summary</w:t>
      </w:r>
    </w:p>
    <w:p>
      <w:r>
        <w:t>Following a cross‑regional review, the Ministry of Natural Resources and Rural Affairs (MNRRA) identified gaps in data governance inside the Land Stewardship Program.</w:t>
      </w:r>
    </w:p>
    <w:p>
      <w:r>
        <w:t>Interviews with analysts Elena Morozov (elena.morozov@govexample.ca, 604‑555‑1182) and Patrick Lalonde (patrick.lalonde@govexample.ca, 250‑555‑0041) revealed unauthorized access to restricted land parcel datasets.</w:t>
      </w:r>
    </w:p>
    <w:p>
      <w:r>
        <w:t>Public complaints continue to rise. One example came from Sarah J. Wilcox, 77 Pineberry Lane, Merriton. Her email is sarah.wilcox@outlook.com and phone 778‑555‑9034.</w:t>
      </w:r>
    </w:p>
    <w:p/>
    <w:p>
      <w:r>
        <w:t>Executive Secretariat requested draft recommendations to consolidate permitting workflows. Pre‑decisional and protected under s.13.</w:t>
      </w:r>
    </w:p>
    <w:p/>
    <w:p>
      <w:r>
        <w:t>An active investigation (ECB‑2025‑00378) by the Enforcement and Compliance Bureau contains investigative techniques covered by s.15.</w:t>
      </w:r>
    </w:p>
    <w:p>
      <w:r>
        <w:br w:type="page"/>
      </w:r>
    </w:p>
    <w:p>
      <w:pPr>
        <w:pStyle w:val="Heading1"/>
      </w:pPr>
      <w:r>
        <w:t>Page 2 – Financial Overview</w:t>
      </w:r>
    </w:p>
    <w:p>
      <w:r>
        <w:t>MNRRA is assessing renewal pricing from VerdantGeo Systems Inc. for its modeling platform.</w:t>
      </w:r>
    </w:p>
    <w:p>
      <w:r>
        <w:t>Sensitive pricing:</w:t>
      </w:r>
    </w:p>
    <w:p>
      <w:r>
        <w:t>- Annual platform fee $629,400</w:t>
      </w:r>
    </w:p>
    <w:p>
      <w:r>
        <w:t>-- Per hectare module $1.14</w:t>
      </w:r>
    </w:p>
    <w:p>
      <w:r>
        <w:t>-- Multi‑year margin breakdowns</w:t>
      </w:r>
    </w:p>
    <w:p/>
    <w:p>
      <w:r>
        <w:t>These are third‑party business details protected under s.21.</w:t>
      </w:r>
    </w:p>
    <w:p/>
    <w:p>
      <w:r>
        <w:t>Internal payroll extracts for the Watershed Pilot:</w:t>
      </w:r>
    </w:p>
    <w:p>
      <w:r>
        <w:t>- Employee MR442198 OT 63.5 hrs</w:t>
      </w:r>
    </w:p>
    <w:p>
      <w:r>
        <w:t>- Employee MR442611 OT 121.2 hrs</w:t>
      </w:r>
    </w:p>
    <w:p/>
    <w:p>
      <w:r>
        <w:t>Contains employee personal information under s.22.</w:t>
      </w:r>
    </w:p>
    <w:p>
      <w:r>
        <w:br w:type="page"/>
      </w:r>
    </w:p>
    <w:p>
      <w:pPr>
        <w:pStyle w:val="Heading1"/>
      </w:pPr>
      <w:r>
        <w:t>Page 3 – Security and Incident Analysis</w:t>
      </w:r>
    </w:p>
    <w:p>
      <w:r>
        <w:t>Security audit (Mar 2025) identified:</w:t>
      </w:r>
    </w:p>
    <w:p>
      <w:r>
        <w:t>- Unsecured SFTP endpoint</w:t>
      </w:r>
    </w:p>
    <w:p>
      <w:r>
        <w:t>- Legacy servers in GIS cluster</w:t>
      </w:r>
    </w:p>
    <w:p>
      <w:r>
        <w:t>- Failed logins from 10.55.18.0/23 linked to former subcontractor</w:t>
      </w:r>
    </w:p>
    <w:p/>
    <w:p>
      <w:r>
        <w:t>Cyber Defence Group threat assessment describes segmentation plans and sensor placement. Release may harm security (s.15).</w:t>
      </w:r>
    </w:p>
    <w:p/>
    <w:p>
      <w:r>
        <w:t>Incident logs include an anonymous whistleblower complaint describing safety concerns. Complaint included supervisor name and complainant’s temporary email: greenleaf.reporter@protonmail.com.</w:t>
      </w:r>
    </w:p>
    <w:p>
      <w:r>
        <w:br w:type="page"/>
      </w:r>
    </w:p>
    <w:p>
      <w:pPr>
        <w:pStyle w:val="Heading1"/>
      </w:pPr>
      <w:r>
        <w:t>Page 4 – Legal Memorandum (Privileged)</w:t>
      </w:r>
    </w:p>
    <w:p>
      <w:r>
        <w:t>Privileged opinion prepared by Office of Chief Legislative Counsel.</w:t>
      </w:r>
    </w:p>
    <w:p>
      <w:r>
        <w:t>Subject: Liability Risks – Watershed Integrity Mandate Expansion.</w:t>
      </w:r>
    </w:p>
    <w:p/>
    <w:p>
      <w:r>
        <w:t>Analysis includes statutory interpretation of EP‑RLA, cross‑agency indemnity exposure, and internal legal advice to ADM Strickland.</w:t>
      </w:r>
    </w:p>
    <w:p>
      <w:r>
        <w:t>Contains privileged communications between counsel and executives. Protected under s.14.</w:t>
      </w:r>
    </w:p>
    <w:p>
      <w:r>
        <w:br w:type="page"/>
      </w:r>
    </w:p>
    <w:p>
      <w:pPr>
        <w:pStyle w:val="Heading1"/>
      </w:pPr>
      <w:r>
        <w:t>Page 5 – Stakeholder Advisory Notes (Raw)</w:t>
      </w:r>
    </w:p>
    <w:p>
      <w:r>
        <w:t>Notes from stakeholder outreach include direct contact details:</w:t>
      </w:r>
    </w:p>
    <w:p>
      <w:r>
        <w:t>- Colin Deveraux, Executive Director, Watershed Coalition</w:t>
      </w:r>
    </w:p>
    <w:p>
      <w:r>
        <w:t xml:space="preserve">  Email: colin.deveraux@watershedcoalition.org</w:t>
      </w:r>
    </w:p>
    <w:p>
      <w:r>
        <w:t xml:space="preserve">  Phone: 236‑555‑4177</w:t>
      </w:r>
    </w:p>
    <w:p/>
    <w:p>
      <w:r>
        <w:t>- Mira Tesh, Hydrology Specialist (Contractor)</w:t>
      </w:r>
    </w:p>
    <w:p>
      <w:r>
        <w:t xml:space="preserve">  Email: mira.tesh.consulting@gmail.com</w:t>
      </w:r>
    </w:p>
    <w:p>
      <w:r>
        <w:t xml:space="preserve">  Phone: 604‑555‑2219</w:t>
      </w:r>
    </w:p>
    <w:p/>
    <w:p>
      <w:r>
        <w:t>- Riley Kwan, Community Representative</w:t>
      </w:r>
    </w:p>
    <w:p>
      <w:r>
        <w:t xml:space="preserve">  Email: riley.kwan@harbourmail.ca</w:t>
      </w:r>
    </w:p>
    <w:p>
      <w:r>
        <w:t xml:space="preserve">  Phone: 250‑555‑7712</w:t>
      </w:r>
    </w:p>
    <w:p/>
    <w:p>
      <w:r>
        <w:t>These details constitute personal information requiring redaction under s.22.</w:t>
      </w:r>
    </w:p>
    <w:p/>
    <w:p>
      <w:r>
        <w:t>Draft policy notes attached to this page include early options for mandate redesign, considered pre‑decisional and protected under s.13.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