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Fractional CIO Advisory Services</w:t>
      </w:r>
    </w:p>
    <w:p>
      <w:r>
        <w:rPr>
          <w:b/>
        </w:rPr>
        <w:t>Submitted by:</w:t>
      </w:r>
      <w:r>
        <w:t xml:space="preserve"> TrustLab Inc — Matt Crossley, Principal matt@mattcrossley.com | 555-0142 Victoria, BC</w:t>
      </w:r>
    </w:p>
    <w:p>
      <w:r>
        <w:rPr>
          <w:b/>
        </w:rPr>
        <w:t>Submitted to:</w:t>
      </w:r>
      <w:r>
        <w:t xml:space="preserve"> Coastal Crown Services Authority Attention: Procurement &amp; Vendor Management Reference: RFP CCSA-2025-FCIO-014</w:t>
      </w:r>
    </w:p>
    <w:p>
      <w:r>
        <w:rPr>
          <w:b/>
        </w:rPr>
        <w:t>Date:</w:t>
      </w:r>
      <w:r>
        <w:t xml:space="preserve"> 22 September 2025</w:t>
      </w:r>
    </w:p>
    <w:p/>
    <w:p>
      <w:r>
        <w:t>Dear Procurement Committee,</w:t>
      </w:r>
    </w:p>
    <w:p>
      <w:r>
        <w:t>TrustLab Inc is pleased to submit this proposal in response to CCSA's solicitation for fractional Chief Information Officer advisory services (RFP CCSA-2025-FCIO-014). Our principal, Matt Crossley, would deliver the engagement directly; this is not a staff-augmentation arrangement. The combination of MBA-level executive experience, a recent CIO seat at a post-secondary institution, and current Crown-corporation IT leadership positions TrustLab uniquely well to address the scope outlined in your solicitation.</w:t>
      </w:r>
    </w:p>
    <w:p>
      <w:r>
        <w:t>The principal previously held the CIO seat at Camosun College from 2018 to 2019, with full executive accountability for IT strategy, operations, infrastructure, cybersecurity, and service delivery at a public post-secondary institution serving 25,000 students and 1,200 staff across two campuses. In that role he delivered an institution-wide IT strategy linking academic objectives with infrastructure investment, established the institution's first cybersecurity programme (endpoint protection, external penetration testing, security awareness training), executed the full Ellucian Colleague ERP migration to cloud, modernised the network across both campuses, and replaced the aging server estate with hyperconverged infrastructure. That experience represents the closest analogue in his career to the executive scope described in CCSA's solicitation.</w:t>
      </w:r>
    </w:p>
    <w:p>
      <w:r>
        <w:rPr>
          <w:b/>
        </w:rPr>
        <w:t>On Strategic Leadership and Innovation</w:t>
      </w:r>
      <w:r>
        <w:t>, his current work at BC Transit is centred on exactly the kind of forward-looking digital vision the RFP describes. He leads the corporation's AI governance framework, usage policies, and responsible adoption roadmap, balancing innovation with risk management in a public-sector context. He is also driving the shift from project-based to product-based delivery, establishing product ownership disciplines and aligning teams around ongoing value delivery rather than discrete project cycles. He served as technology lead for the province-wide Battery Electric Bus programme, integrating fleet electrification with charge management and operational systems. He is comfortable acting as the resident futurist the RFP describes, and he has the credibility from delivery to back it up.</w:t>
      </w:r>
    </w:p>
    <w:p>
      <w:r>
        <w:rPr>
          <w:b/>
        </w:rPr>
        <w:t>On Strategic Partnerships and Governance</w:t>
      </w:r>
      <w:r>
        <w:t>, the RFP explicitly calls for establishing and maturing a robust IT governance framework. That is the work he has done at BC Transit. When he arrived there was no enterprise PMO, no Architecture Review Board, no formal portfolio governance, and no structured delivery methodology. He established each of these over several years: standing up a portfolio prioritisation process that gave executives transparency into capacity and spend for the first time, introducing architecture standards and review gates, founding the Business Relationship Management function to strengthen cross-departmental engagement, and embedding agile and hybrid delivery practices.</w:t>
      </w:r>
    </w:p>
    <w:p>
      <w:r>
        <w:rPr>
          <w:b/>
        </w:rPr>
        <w:t>On Operational Excellence and Fiscal Stewardship</w:t>
      </w:r>
      <w:r>
        <w:t>, he holds accountability for a $34M CAD technology portfolio at BC Transit, with business case discipline, KPI reporting, and capacity planning practices he introduced as part of the portfolio intake process. He works directly with the VP and Board on portfolio performance, multi-year investment cycles, and the financial implications of proposed initiatives. He is comfortable with quarterly forecasting, capital and operating budget oversight, and the rigour that comes with public funding.</w:t>
      </w:r>
    </w:p>
    <w:p>
      <w:r>
        <w:rPr>
          <w:b/>
        </w:rPr>
        <w:t>On Digital Security, Risk and Human Capital</w:t>
      </w:r>
      <w:r>
        <w:t>, he provides oversight of enterprise information risk, service continuity, FOIPPA compliance, and privacy at BC Transit, and he established the first cybersecurity programme at Camosun. He has built and mentored a 50-person multidisciplinary team spanning architecture, analytics, project delivery, privacy, and information management, and he has served as the management representative in collective bargaining, informing positions on artificial intelligence, workforce scheduling, remote work, and digital tool adoption.</w:t>
      </w:r>
    </w:p>
    <w:p>
      <w:pPr>
        <w:pStyle w:val="Heading1"/>
      </w:pPr>
      <w:r>
        <w:t>Engagement model</w:t>
      </w:r>
    </w:p>
    <w:p>
      <w:r>
        <w:t>TrustLab proposes a 0.4 FTE engagement (approximately two days per week), delivered on-site at CCSA offices one day per fortnight and remotely otherwise, with a six-month initial term and a mutual option to extend. A detailed engagement plan, deliverables schedule, and rate card are attached as Appendix A and Appendix B. References from two prior senior clients are provided on request and are available to the Procurement Committee on a confidential basis.</w:t>
      </w:r>
    </w:p>
    <w:p>
      <w:r>
        <w:t>TrustLab would welcome the opportunity to discuss how this proposal can be refined to fit CCSA's specific context. We are available for an in-person meeting at your convenience during the week of 6 October 2025.</w:t>
      </w:r>
    </w:p>
    <w:p>
      <w:r>
        <w:t>Sincerely,</w:t>
      </w:r>
    </w:p>
    <w:p>
      <w:r>
        <w:t>Matt Crossley Principal, TrustLab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