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2"/>
          <w:szCs w:val="42"/>
        </w:rPr>
      </w:pPr>
      <w:bookmarkStart w:colFirst="0" w:colLast="0" w:name="_ortnxmejtor0" w:id="0"/>
      <w:bookmarkEnd w:id="0"/>
      <w:r w:rsidDel="00000000" w:rsidR="00000000" w:rsidRPr="00000000">
        <w:rPr>
          <w:b w:val="1"/>
          <w:bCs w:val="1"/>
          <w:sz w:val="46"/>
          <w:szCs w:val="46"/>
          <w:rtl w:val="0"/>
        </w:rPr>
        <w:t xml:space="preserve">Risk Assessment &amp; Harms Prevention: </w:t>
      </w:r>
      <w:r w:rsidDel="00000000" w:rsidR="00000000" w:rsidRPr="00000000">
        <w:rPr>
          <w:sz w:val="42"/>
          <w:szCs w:val="42"/>
          <w:rtl w:val="0"/>
        </w:rPr>
        <w:t xml:space="preserve">Priority Requirements for DTG Standards Development</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Working Draft · RAHP Task Force · March 2026</w:t>
        <w:br w:type="textWrapping"/>
      </w:r>
      <w:r w:rsidDel="00000000" w:rsidR="00000000" w:rsidRPr="00000000">
        <w:rPr>
          <w:i w:val="1"/>
          <w:iCs w:val="1"/>
          <w:rtl w:val="0"/>
        </w:rPr>
        <w:t xml:space="preserve">Derived from: VTC Bootstrapping Draft v3, Personas Analysis, DTG Credential Spec v0.3 review, DTGWG GitHub discussions</w:t>
      </w:r>
    </w:p>
    <w:p w:rsidR="00000000" w:rsidDel="00000000" w:rsidP="00000000" w:rsidRDefault="00000000" w:rsidRPr="00000000" w14:paraId="00000003">
      <w:pPr>
        <w:spacing w:after="240" w:before="240" w:lineRule="auto"/>
        <w:rPr>
          <w:b w:val="1"/>
          <w:bCs w:val="1"/>
          <w:i w:val="1"/>
          <w:iCs w:val="1"/>
          <w:highlight w:val="yellow"/>
        </w:rPr>
      </w:pPr>
      <w:r w:rsidDel="00000000" w:rsidR="00000000" w:rsidRPr="00000000">
        <w:rPr>
          <w:b w:val="1"/>
          <w:bCs w:val="1"/>
          <w:i w:val="1"/>
          <w:iCs w:val="1"/>
          <w:highlight w:val="yellow"/>
          <w:rtl w:val="0"/>
        </w:rPr>
        <w:t xml:space="preserve">Document for internal review</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n6u4do4n8sm"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The RAHP risk and harm register currently identifies </w:t>
      </w:r>
      <w:r w:rsidDel="00000000" w:rsidR="00000000" w:rsidRPr="00000000">
        <w:rPr>
          <w:b w:val="1"/>
          <w:bCs w:val="1"/>
          <w:rtl w:val="0"/>
        </w:rPr>
        <w:t xml:space="preserve">35 risks</w:t>
      </w:r>
      <w:r w:rsidDel="00000000" w:rsidR="00000000" w:rsidRPr="00000000">
        <w:rPr>
          <w:rtl w:val="0"/>
        </w:rPr>
        <w:t xml:space="preserve"> across 10 categories — 20 High severity, 11 Medium, and 4 that are both High severity and High likelihood (the immediate action set). Against those risks the analysis defines 56 controls (CT), 18 guardrails (GR), and 18 assurance tests (AT). This note summarises which of those items carry the highest priority for inclusion as normative requirements in the DTG credential specification, and flags the four new risks introduced by the v0.3 spec review.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Risk categories with 100% High severity:</w:t>
      </w:r>
      <w:r w:rsidDel="00000000" w:rsidR="00000000" w:rsidRPr="00000000">
        <w:rPr>
          <w:rtl w:val="0"/>
        </w:rPr>
        <w:t xml:space="preserve"> AI Agents (4/4), Systemic (3/3).</w:t>
      </w:r>
    </w:p>
    <w:sdt>
      <w:sdtPr>
        <w:id w:val="1616638292"/>
        <w:docPartObj>
          <w:docPartGallery w:val="Table of Contents"/>
          <w:docPartUnique w:val="1"/>
        </w:docPartObj>
      </w:sdtPr>
      <w:sdtContent>
        <w:p w:rsidR="00000000" w:rsidDel="00000000" w:rsidP="00000000" w:rsidRDefault="00000000" w:rsidRPr="00000000" w14:paraId="00000007">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ind w:left="360" w:firstLine="0"/>
            <w:rPr>
              <w:color w:val="000000"/>
              <w:u w:val="none"/>
            </w:rPr>
          </w:pPr>
          <w:hyperlink w:anchor="_pn6u4do4n8sm">
            <w:r w:rsidDel="00000000" w:rsidR="00000000" w:rsidRPr="00000000">
              <w:rPr>
                <w:color w:val="000000"/>
                <w:u w:val="none"/>
                <w:rtl w:val="0"/>
              </w:rPr>
              <w:t xml:space="preserve">Overview</w:t>
              <w:tab/>
            </w:r>
          </w:hyperlink>
          <w:r w:rsidDel="00000000" w:rsidR="00000000" w:rsidRPr="00000000">
            <w:fldChar w:fldCharType="begin"/>
            <w:instrText xml:space="preserve"> PAGEREF _pn6u4do4n8sm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ind w:left="360" w:firstLine="0"/>
            <w:rPr>
              <w:color w:val="000000"/>
              <w:u w:val="none"/>
            </w:rPr>
          </w:pPr>
          <w:hyperlink w:anchor="_jw3x5nwudw3n">
            <w:r w:rsidDel="00000000" w:rsidR="00000000" w:rsidRPr="00000000">
              <w:rPr>
                <w:color w:val="000000"/>
                <w:u w:val="none"/>
                <w:rtl w:val="0"/>
              </w:rPr>
              <w:t xml:space="preserve">Five Critical Harm Clusters</w:t>
              <w:tab/>
            </w:r>
          </w:hyperlink>
          <w:r w:rsidDel="00000000" w:rsidR="00000000" w:rsidRPr="00000000">
            <w:fldChar w:fldCharType="begin"/>
            <w:instrText xml:space="preserve"> PAGEREF _jw3x5nwudw3n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360" w:firstLine="0"/>
            <w:rPr>
              <w:color w:val="000000"/>
              <w:u w:val="none"/>
            </w:rPr>
          </w:pPr>
          <w:hyperlink w:anchor="_mqapfhgjjba7">
            <w:r w:rsidDel="00000000" w:rsidR="00000000" w:rsidRPr="00000000">
              <w:rPr>
                <w:color w:val="000000"/>
                <w:u w:val="none"/>
                <w:rtl w:val="0"/>
              </w:rPr>
              <w:t xml:space="preserve">Priority Guardrails (Phase Gates)</w:t>
              <w:tab/>
            </w:r>
          </w:hyperlink>
          <w:r w:rsidDel="00000000" w:rsidR="00000000" w:rsidRPr="00000000">
            <w:fldChar w:fldCharType="begin"/>
            <w:instrText xml:space="preserve"> PAGEREF _mqapfhgjjba7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ind w:left="360" w:firstLine="0"/>
            <w:rPr>
              <w:color w:val="000000"/>
              <w:u w:val="none"/>
            </w:rPr>
          </w:pPr>
          <w:hyperlink w:anchor="_3f7zrqk1wyyf">
            <w:r w:rsidDel="00000000" w:rsidR="00000000" w:rsidRPr="00000000">
              <w:rPr>
                <w:color w:val="000000"/>
                <w:u w:val="none"/>
                <w:rtl w:val="0"/>
              </w:rPr>
              <w:t xml:space="preserve">Priority Controls (Normative Candidates)</w:t>
              <w:tab/>
            </w:r>
          </w:hyperlink>
          <w:r w:rsidDel="00000000" w:rsidR="00000000" w:rsidRPr="00000000">
            <w:fldChar w:fldCharType="begin"/>
            <w:instrText xml:space="preserve"> PAGEREF _3f7zrqk1wyyf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hhkft1pys53y">
            <w:r w:rsidDel="00000000" w:rsidR="00000000" w:rsidRPr="00000000">
              <w:rPr>
                <w:color w:val="000000"/>
                <w:u w:val="none"/>
                <w:rtl w:val="0"/>
              </w:rPr>
              <w:t xml:space="preserve">Priority Assurance Tests</w:t>
              <w:tab/>
            </w:r>
          </w:hyperlink>
          <w:r w:rsidDel="00000000" w:rsidR="00000000" w:rsidRPr="00000000">
            <w:fldChar w:fldCharType="begin"/>
            <w:instrText xml:space="preserve"> PAGEREF _hhkft1pys53y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360" w:firstLine="0"/>
            <w:rPr>
              <w:color w:val="000000"/>
              <w:u w:val="none"/>
            </w:rPr>
          </w:pPr>
          <w:hyperlink w:anchor="_gt6tjjxznzm">
            <w:r w:rsidDel="00000000" w:rsidR="00000000" w:rsidRPr="00000000">
              <w:rPr>
                <w:color w:val="000000"/>
                <w:u w:val="none"/>
                <w:rtl w:val="0"/>
              </w:rPr>
              <w:t xml:space="preserve">Eight Priority Recommendations</w:t>
              <w:tab/>
            </w:r>
          </w:hyperlink>
          <w:r w:rsidDel="00000000" w:rsidR="00000000" w:rsidRPr="00000000">
            <w:fldChar w:fldCharType="begin"/>
            <w:instrText xml:space="preserve"> PAGEREF _gt6tjjxznzm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720" w:firstLine="0"/>
            <w:rPr>
              <w:color w:val="000000"/>
              <w:u w:val="none"/>
            </w:rPr>
          </w:pPr>
          <w:hyperlink w:anchor="_9v4530lkplg2">
            <w:r w:rsidDel="00000000" w:rsidR="00000000" w:rsidRPr="00000000">
              <w:rPr>
                <w:color w:val="000000"/>
                <w:u w:val="none"/>
                <w:rtl w:val="0"/>
              </w:rPr>
              <w:t xml:space="preserve">REC-1 · NORMATIVE — Uniqueness enforcement as phase-gate</w:t>
              <w:tab/>
            </w:r>
          </w:hyperlink>
          <w:r w:rsidDel="00000000" w:rsidR="00000000" w:rsidRPr="00000000">
            <w:fldChar w:fldCharType="begin"/>
            <w:instrText xml:space="preserve"> PAGEREF _9v4530lkplg2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720" w:firstLine="0"/>
            <w:rPr>
              <w:color w:val="000000"/>
              <w:u w:val="none"/>
            </w:rPr>
          </w:pPr>
          <w:hyperlink w:anchor="_x7plqr338wr0">
            <w:r w:rsidDel="00000000" w:rsidR="00000000" w:rsidRPr="00000000">
              <w:rPr>
                <w:color w:val="000000"/>
                <w:u w:val="none"/>
                <w:rtl w:val="0"/>
              </w:rPr>
              <w:t xml:space="preserve">REC-2 · NORMATIVE — AI agent governance as first-class specification area</w:t>
              <w:tab/>
            </w:r>
          </w:hyperlink>
          <w:r w:rsidDel="00000000" w:rsidR="00000000" w:rsidRPr="00000000">
            <w:fldChar w:fldCharType="begin"/>
            <w:instrText xml:space="preserve"> PAGEREF _x7plqr338wr0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720" w:firstLine="0"/>
            <w:rPr>
              <w:color w:val="000000"/>
              <w:u w:val="none"/>
            </w:rPr>
          </w:pPr>
          <w:hyperlink w:anchor="_p5z3ap9ak7cn">
            <w:r w:rsidDel="00000000" w:rsidR="00000000" w:rsidRPr="00000000">
              <w:rPr>
                <w:color w:val="000000"/>
                <w:u w:val="none"/>
                <w:rtl w:val="0"/>
              </w:rPr>
              <w:t xml:space="preserve">REC-3 · NORMATIVE — Privacy-preserving revocation</w:t>
              <w:tab/>
            </w:r>
          </w:hyperlink>
          <w:r w:rsidDel="00000000" w:rsidR="00000000" w:rsidRPr="00000000">
            <w:fldChar w:fldCharType="begin"/>
            <w:instrText xml:space="preserve"> PAGEREF _p5z3ap9ak7cn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720" w:firstLine="0"/>
            <w:rPr>
              <w:color w:val="000000"/>
              <w:u w:val="none"/>
            </w:rPr>
          </w:pPr>
          <w:hyperlink w:anchor="_ns68nu3xqad">
            <w:r w:rsidDel="00000000" w:rsidR="00000000" w:rsidRPr="00000000">
              <w:rPr>
                <w:color w:val="000000"/>
                <w:u w:val="none"/>
                <w:rtl w:val="0"/>
              </w:rPr>
              <w:t xml:space="preserve">REC-4 · NORMATIVE — Non-discriminatory admission and alternative identity proofing</w:t>
              <w:tab/>
            </w:r>
          </w:hyperlink>
          <w:r w:rsidDel="00000000" w:rsidR="00000000" w:rsidRPr="00000000">
            <w:fldChar w:fldCharType="begin"/>
            <w:instrText xml:space="preserve"> PAGEREF _ns68nu3xqad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720" w:firstLine="0"/>
            <w:rPr>
              <w:color w:val="000000"/>
              <w:u w:val="none"/>
            </w:rPr>
          </w:pPr>
          <w:hyperlink w:anchor="_87n7kl7bbgne">
            <w:r w:rsidDel="00000000" w:rsidR="00000000" w:rsidRPr="00000000">
              <w:rPr>
                <w:color w:val="000000"/>
                <w:u w:val="none"/>
                <w:rtl w:val="0"/>
              </w:rPr>
              <w:t xml:space="preserve">REC-5 · NORMATIVE — Multi-party registry write authorisation</w:t>
              <w:tab/>
            </w:r>
          </w:hyperlink>
          <w:r w:rsidDel="00000000" w:rsidR="00000000" w:rsidRPr="00000000">
            <w:fldChar w:fldCharType="begin"/>
            <w:instrText xml:space="preserve"> PAGEREF _87n7kl7bbgne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720" w:firstLine="0"/>
            <w:rPr>
              <w:color w:val="000000"/>
              <w:u w:val="none"/>
            </w:rPr>
          </w:pPr>
          <w:hyperlink w:anchor="_cavdhx7s6kmi">
            <w:r w:rsidDel="00000000" w:rsidR="00000000" w:rsidRPr="00000000">
              <w:rPr>
                <w:color w:val="000000"/>
                <w:u w:val="none"/>
                <w:rtl w:val="0"/>
              </w:rPr>
              <w:t xml:space="preserve">REC-6 · RECOMMENDED — Formal threat model as standards deliverable</w:t>
              <w:tab/>
            </w:r>
          </w:hyperlink>
          <w:r w:rsidDel="00000000" w:rsidR="00000000" w:rsidRPr="00000000">
            <w:fldChar w:fldCharType="begin"/>
            <w:instrText xml:space="preserve"> PAGEREF _cavdhx7s6kmi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720" w:firstLine="0"/>
            <w:rPr>
              <w:color w:val="000000"/>
              <w:u w:val="none"/>
            </w:rPr>
          </w:pPr>
          <w:hyperlink w:anchor="_tfvwn0eh15nh">
            <w:r w:rsidDel="00000000" w:rsidR="00000000" w:rsidRPr="00000000">
              <w:rPr>
                <w:color w:val="000000"/>
                <w:u w:val="none"/>
                <w:rtl w:val="0"/>
              </w:rPr>
              <w:t xml:space="preserve">REC-7 · RECOMMENDED — UX design principles as normative annex</w:t>
              <w:tab/>
            </w:r>
          </w:hyperlink>
          <w:r w:rsidDel="00000000" w:rsidR="00000000" w:rsidRPr="00000000">
            <w:fldChar w:fldCharType="begin"/>
            <w:instrText xml:space="preserve"> PAGEREF _tfvwn0eh15nh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720" w:firstLine="0"/>
            <w:rPr>
              <w:color w:val="000000"/>
              <w:u w:val="none"/>
            </w:rPr>
          </w:pPr>
          <w:hyperlink w:anchor="_5gr5shtb8def">
            <w:r w:rsidDel="00000000" w:rsidR="00000000" w:rsidRPr="00000000">
              <w:rPr>
                <w:color w:val="000000"/>
                <w:u w:val="none"/>
                <w:rtl w:val="0"/>
              </w:rPr>
              <w:t xml:space="preserve">REC-8 · PROCESS — Mandatory open issues resolution before Phase 4</w:t>
              <w:tab/>
            </w:r>
          </w:hyperlink>
          <w:r w:rsidDel="00000000" w:rsidR="00000000" w:rsidRPr="00000000">
            <w:fldChar w:fldCharType="begin"/>
            <w:instrText xml:space="preserve"> PAGEREF _5gr5shtb8def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w40clgbb8qtp">
            <w:r w:rsidDel="00000000" w:rsidR="00000000" w:rsidRPr="00000000">
              <w:rPr>
                <w:color w:val="000000"/>
                <w:u w:val="none"/>
                <w:rtl w:val="0"/>
              </w:rPr>
              <w:t xml:space="preserve">Spec v0.3 Gap Summary</w:t>
              <w:tab/>
            </w:r>
          </w:hyperlink>
          <w:r w:rsidDel="00000000" w:rsidR="00000000" w:rsidRPr="00000000">
            <w:fldChar w:fldCharType="begin"/>
            <w:instrText xml:space="preserve"> PAGEREF _w40clgbb8qtp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cputdd3fvld3">
            <w:r w:rsidDel="00000000" w:rsidR="00000000" w:rsidRPr="00000000">
              <w:rPr>
                <w:color w:val="000000"/>
                <w:u w:val="none"/>
                <w:rtl w:val="0"/>
              </w:rPr>
              <w:t xml:space="preserve">High-Priority Risk Shortlist (score 9 or 6)</w:t>
              <w:tab/>
            </w:r>
          </w:hyperlink>
          <w:r w:rsidDel="00000000" w:rsidR="00000000" w:rsidRPr="00000000">
            <w:fldChar w:fldCharType="begin"/>
            <w:instrText xml:space="preserve"> PAGEREF _cputdd3fvld3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jw3x5nwudw3n" w:id="2"/>
      <w:bookmarkEnd w:id="2"/>
      <w:r w:rsidDel="00000000" w:rsidR="00000000" w:rsidRPr="00000000">
        <w:rPr>
          <w:b w:val="1"/>
          <w:bCs w:val="1"/>
          <w:sz w:val="34"/>
          <w:szCs w:val="34"/>
          <w:rtl w:val="0"/>
        </w:rPr>
        <w:t xml:space="preserve">Five Critical Harm Clusters</w:t>
      </w:r>
    </w:p>
    <w:p w:rsidR="00000000" w:rsidDel="00000000" w:rsidP="00000000" w:rsidRDefault="00000000" w:rsidRPr="00000000" w14:paraId="0000001A">
      <w:pPr>
        <w:spacing w:after="240" w:before="240" w:lineRule="auto"/>
        <w:rPr/>
      </w:pPr>
      <w:r w:rsidDel="00000000" w:rsidR="00000000" w:rsidRPr="00000000">
        <w:rPr>
          <w:rtl w:val="0"/>
        </w:rPr>
        <w:t xml:space="preserve">Before listing controls, it is worth naming what the controls are protecting against. The register groups into five harm clusters:</w:t>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30098598858325"/>
        <w:gridCol w:w="2248.925791385573"/>
        <w:gridCol w:w="1258.0384016606124"/>
        <w:gridCol w:w="5352.73482096523"/>
        <w:tblGridChange w:id="0">
          <w:tblGrid>
            <w:gridCol w:w="500.30098598858325"/>
            <w:gridCol w:w="2248.925791385573"/>
            <w:gridCol w:w="1258.0384016606124"/>
            <w:gridCol w:w="5352.734820965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Harm cluster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Risks affected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Nature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Trust graph integrity / identity fraud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9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Sybil proliferation, AI-mediated synthetic identities, anchor collusion, registry manipulation. Existential: if the graph cannot be trusted, DTG fails.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Human rights — revocation, exclusion, surveillance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Unjust revocation without due process, discriminatory vouching, reputational harm from public revocation, state surveillance via membership linkability. Structural features of the architecture, not edge cases.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Governance failure / capture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7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Genesis policy capture, governance transition failure, CIB in governance. Most dangerous during bootstrapping when power is maximally concentrated and oversight does not yet exist.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Privacy / data protection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5 Medium–High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Schema over-disclosure, M-DID linkability, ZKP failures, chilling effect. Legal exposure under GDPR and eIDAS 2.0 if unaddressed normatively.</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AI-specific attack surface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4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Agent scope creep, stale agent after operator revocation, AI-mediated Sybil at scale, LLM-powered anchor social engineering. No existing VC/DID standard addresses this.</w:t>
            </w:r>
          </w:p>
        </w:tc>
      </w:tr>
    </w:tbl>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mqapfhgjjba7" w:id="3"/>
      <w:bookmarkEnd w:id="3"/>
      <w:r w:rsidDel="00000000" w:rsidR="00000000" w:rsidRPr="00000000">
        <w:rPr>
          <w:b w:val="1"/>
          <w:bCs w:val="1"/>
          <w:sz w:val="34"/>
          <w:szCs w:val="34"/>
          <w:rtl w:val="0"/>
        </w:rPr>
        <w:t xml:space="preserve">Priority Guardrails (Phase Gates)</w:t>
      </w:r>
    </w:p>
    <w:p w:rsidR="00000000" w:rsidDel="00000000" w:rsidP="00000000" w:rsidRDefault="00000000" w:rsidRPr="00000000" w14:paraId="00000034">
      <w:pPr>
        <w:spacing w:after="240" w:before="240" w:lineRule="auto"/>
        <w:rPr/>
      </w:pPr>
      <w:r w:rsidDel="00000000" w:rsidR="00000000" w:rsidRPr="00000000">
        <w:rPr>
          <w:rtl w:val="0"/>
        </w:rPr>
        <w:t xml:space="preserve">Ranked by number of High-severity risks addressed. A guardrail is a binary pass/fail pre-condition — failure must block phase progression, not merely trigger risk-reduction.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520939734423"/>
        <w:gridCol w:w="4608.2941777323795"/>
        <w:gridCol w:w="1195.097037793667"/>
        <w:gridCol w:w="1209.438202247191"/>
        <w:gridCol w:w="1596.6496424923391"/>
        <w:tblGridChange w:id="0">
          <w:tblGrid>
            <w:gridCol w:w="750.520939734423"/>
            <w:gridCol w:w="4608.2941777323795"/>
            <w:gridCol w:w="1195.097037793667"/>
            <w:gridCol w:w="1209.438202247191"/>
            <w:gridCol w:w="1596.6496424923391"/>
          </w:tblGrid>
        </w:tblGridChange>
      </w:tblGrid>
      <w:tr>
        <w:trPr>
          <w:cantSplit w:val="0"/>
          <w:trHeight w:val="76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Guardrail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High risks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Total risks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Phase gate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GR-06</w:t>
            </w:r>
            <w:r w:rsidDel="00000000" w:rsidR="00000000" w:rsidRPr="00000000">
              <w:rPr>
                <w:rtl w:val="0"/>
              </w:rPr>
              <w:t xml:space="preserve"> Privacy-Preserving Proofing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Pre–Phase 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GR-09</w:t>
            </w:r>
            <w:r w:rsidDel="00000000" w:rsidR="00000000" w:rsidRPr="00000000">
              <w:rPr>
                <w:rtl w:val="0"/>
              </w:rPr>
              <w:t xml:space="preserve"> Privacy-Preserving Revocation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Revocation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GR-07</w:t>
            </w:r>
            <w:r w:rsidDel="00000000" w:rsidR="00000000" w:rsidRPr="00000000">
              <w:rPr>
                <w:rtl w:val="0"/>
              </w:rPr>
              <w:t xml:space="preserve"> Uniqueness Enforcement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Pre–Phase 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GR-10</w:t>
            </w:r>
            <w:r w:rsidDel="00000000" w:rsidR="00000000" w:rsidRPr="00000000">
              <w:rPr>
                <w:rtl w:val="0"/>
              </w:rPr>
              <w:t xml:space="preserve"> Multi-Party Registry Write Authorisation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All phases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GR-14</w:t>
            </w:r>
            <w:r w:rsidDel="00000000" w:rsidR="00000000" w:rsidRPr="00000000">
              <w:rPr>
                <w:rtl w:val="0"/>
              </w:rPr>
              <w:t xml:space="preserve"> Non-Human Actor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Pre–Phase 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GR-03</w:t>
            </w:r>
            <w:r w:rsidDel="00000000" w:rsidR="00000000" w:rsidRPr="00000000">
              <w:rPr>
                <w:rtl w:val="0"/>
              </w:rPr>
              <w:t xml:space="preserve"> Trust Anchor Diversity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Pre–Phase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GR-08</w:t>
            </w:r>
            <w:r w:rsidDel="00000000" w:rsidR="00000000" w:rsidRPr="00000000">
              <w:rPr>
                <w:rtl w:val="0"/>
              </w:rPr>
              <w:t xml:space="preserve"> Revocation Due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Revocation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GR-12</w:t>
            </w:r>
            <w:r w:rsidDel="00000000" w:rsidR="00000000" w:rsidRPr="00000000">
              <w:rPr>
                <w:rtl w:val="0"/>
              </w:rPr>
              <w:t xml:space="preserve"> Agent Delegation Scope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Agent lifecycle</w:t>
            </w:r>
          </w:p>
        </w:tc>
      </w:tr>
    </w:tbl>
    <w:p w:rsidR="00000000" w:rsidDel="00000000" w:rsidP="00000000" w:rsidRDefault="00000000" w:rsidRPr="00000000" w14:paraId="00000062">
      <w:pPr>
        <w:spacing w:after="240" w:before="240" w:lineRule="auto"/>
        <w:ind w:left="0" w:right="600" w:firstLine="0"/>
        <w:rPr/>
      </w:pPr>
      <w:r w:rsidDel="00000000" w:rsidR="00000000" w:rsidRPr="00000000">
        <w:rPr>
          <w:b w:val="1"/>
          <w:bCs w:val="1"/>
          <w:rtl w:val="0"/>
        </w:rPr>
        <w:t xml:space="preserve">GR-06</w:t>
      </w:r>
      <w:r w:rsidDel="00000000" w:rsidR="00000000" w:rsidRPr="00000000">
        <w:rPr>
          <w:rtl w:val="0"/>
        </w:rPr>
        <w:t xml:space="preserve"> has the highest single-guardrail risk coverage in the dataset. Without it, GDPR compliance, social exclusion, and surveillance risks are simultaneously unmitigated.</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f7zrqk1wyyf" w:id="4"/>
      <w:bookmarkEnd w:id="4"/>
      <w:r w:rsidDel="00000000" w:rsidR="00000000" w:rsidRPr="00000000">
        <w:rPr>
          <w:b w:val="1"/>
          <w:bCs w:val="1"/>
          <w:sz w:val="34"/>
          <w:szCs w:val="34"/>
          <w:rtl w:val="0"/>
        </w:rPr>
        <w:t xml:space="preserve">Priority Controls (Normative Candidates)</w:t>
      </w:r>
    </w:p>
    <w:p w:rsidR="00000000" w:rsidDel="00000000" w:rsidP="00000000" w:rsidRDefault="00000000" w:rsidRPr="00000000" w14:paraId="00000064">
      <w:pPr>
        <w:spacing w:after="240" w:before="240" w:lineRule="auto"/>
        <w:rPr/>
      </w:pPr>
      <w:r w:rsidDel="00000000" w:rsidR="00000000" w:rsidRPr="00000000">
        <w:rPr>
          <w:rtl w:val="0"/>
        </w:rPr>
        <w:t xml:space="preserve">Ranked by High-severity risks addressed.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520939734423"/>
        <w:gridCol w:w="2500.1430030643514"/>
        <w:gridCol w:w="1324.167517875383"/>
        <w:gridCol w:w="807.885597548519"/>
        <w:gridCol w:w="3977.2829417773237"/>
        <w:tblGridChange w:id="0">
          <w:tblGrid>
            <w:gridCol w:w="750.520939734423"/>
            <w:gridCol w:w="2500.1430030643514"/>
            <w:gridCol w:w="1324.167517875383"/>
            <w:gridCol w:w="807.885597548519"/>
            <w:gridCol w:w="3977.282941777323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High risks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Normative case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CT-08</w:t>
            </w:r>
            <w:r w:rsidDel="00000000" w:rsidR="00000000" w:rsidRPr="00000000">
              <w:rPr>
                <w:rtl w:val="0"/>
              </w:rPr>
              <w:t xml:space="preserve"> Uniqueness Enforcement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Single highest-coverage technical control. Addresses Sybil, AI-mediated fraud, and the open issues cluster. Completely absent from spec v0.3.</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CT-34</w:t>
            </w:r>
            <w:r w:rsidDel="00000000" w:rsidR="00000000" w:rsidRPr="00000000">
              <w:rPr>
                <w:rtl w:val="0"/>
              </w:rPr>
              <w:t xml:space="preserve"> Behavioural Anomaly Detection for Non-Human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Required before Phase 4 opens (GR-14 underpins). Addresses AI-mediated Sybil generation and social engineering.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CT-45</w:t>
            </w:r>
            <w:r w:rsidDel="00000000" w:rsidR="00000000" w:rsidRPr="00000000">
              <w:rPr>
                <w:rtl w:val="0"/>
              </w:rPr>
              <w:t xml:space="preserve"> Multi-Party Registry Write Authorisation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Protects the trust registry from single-actor attacks. State coercion and graph capture both depend on unilateral write access.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CT-04</w:t>
            </w:r>
            <w:r w:rsidDel="00000000" w:rsidR="00000000" w:rsidRPr="00000000">
              <w:rPr>
                <w:rtl w:val="0"/>
              </w:rPr>
              <w:t xml:space="preserve"> Trust Anchor Diversity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Required before Phase 2. Addresses anchor collusion, discriminatory vouching, and systemic capture simultaneously.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CT-09</w:t>
            </w:r>
            <w:r w:rsidDel="00000000" w:rsidR="00000000" w:rsidRPr="00000000">
              <w:rPr>
                <w:rtl w:val="0"/>
              </w:rPr>
              <w:t xml:space="preserve"> Vouching Pattern Anomaly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Complements CT-08. Detects coordinated Sybil vouching rings before they pass admission thresholds.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CT-15</w:t>
            </w:r>
            <w:r w:rsidDel="00000000" w:rsidR="00000000" w:rsidRPr="00000000">
              <w:rPr>
                <w:rtl w:val="0"/>
              </w:rPr>
              <w:t xml:space="preserve"> Pseudonymous Per-VTC M-DID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Foundational privacy. Prevents cross-community profiling. Should be normative design requirement in the credential spec.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CT-24</w:t>
            </w:r>
            <w:r w:rsidDel="00000000" w:rsidR="00000000" w:rsidRPr="00000000">
              <w:rPr>
                <w:rtl w:val="0"/>
              </w:rPr>
              <w:t xml:space="preserve"> Privacy-Preserving Revocation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Protects members from public identity exposure during revocation. Addresses RK-CR01 and RK-HX03 together.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CT-30</w:t>
            </w:r>
            <w:r w:rsidDel="00000000" w:rsidR="00000000" w:rsidRPr="00000000">
              <w:rPr>
                <w:rtl w:val="0"/>
              </w:rPr>
              <w:t xml:space="preserve"> Cryptographic Delegation Scope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Required for safe AI agent participation. No existing standard addresses this.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CT-32</w:t>
            </w:r>
            <w:r w:rsidDel="00000000" w:rsidR="00000000" w:rsidRPr="00000000">
              <w:rPr>
                <w:rtl w:val="0"/>
              </w:rPr>
              <w:t xml:space="preserve"> Agent Liveness Check on Operator VMC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Technical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Prevents stale agent access after operator revocation. Normative MUST for agent credential lifecycle.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CT-10</w:t>
            </w:r>
            <w:r w:rsidDel="00000000" w:rsidR="00000000" w:rsidRPr="00000000">
              <w:rPr>
                <w:rtl w:val="0"/>
              </w:rPr>
              <w:t xml:space="preserve"> Non-Discriminatory Admission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Equality law and human rights requirement. Must be a normative MUST in the VTC governance framework specification.</w:t>
            </w:r>
          </w:p>
        </w:tc>
      </w:tr>
    </w:tbl>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hhkft1pys53y" w:id="5"/>
      <w:bookmarkEnd w:id="5"/>
      <w:r w:rsidDel="00000000" w:rsidR="00000000" w:rsidRPr="00000000">
        <w:rPr>
          <w:b w:val="1"/>
          <w:bCs w:val="1"/>
          <w:sz w:val="34"/>
          <w:szCs w:val="34"/>
          <w:rtl w:val="0"/>
        </w:rPr>
        <w:t xml:space="preserve">Priority Assurance Tests</w:t>
      </w:r>
    </w:p>
    <w:p w:rsidR="00000000" w:rsidDel="00000000" w:rsidP="00000000" w:rsidRDefault="00000000" w:rsidRPr="00000000" w14:paraId="0000009D">
      <w:pPr>
        <w:spacing w:after="240" w:before="240" w:lineRule="auto"/>
        <w:rPr/>
      </w:pPr>
      <w:r w:rsidDel="00000000" w:rsidR="00000000" w:rsidRPr="00000000">
        <w:rPr>
          <w:rtl w:val="0"/>
        </w:rPr>
        <w:t xml:space="preserve">The assurance tests with the highest risk coverage, each providing binary pass/fail evidence that a guardrail is met: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1139896373057"/>
        <w:gridCol w:w="1445.2227979274612"/>
        <w:gridCol w:w="3729.450777202073"/>
        <w:gridCol w:w="3511.2124352331607"/>
        <w:tblGridChange w:id="0">
          <w:tblGrid>
            <w:gridCol w:w="674.1139896373057"/>
            <w:gridCol w:w="1445.2227979274612"/>
            <w:gridCol w:w="3729.450777202073"/>
            <w:gridCol w:w="3511.212435233160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Linked guardrail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Risks covered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Test type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AT-06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RK-ID02, RK-ID05, RK-SC01, RK-NM01, RK-CY01, RK-EX03, RK-HX01, RK-HX02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End-to-end flow test + UX accessibility review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AT-07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RK-ID01, RK-CY01, RK-AI03, RK-SY01, RK-SY03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Governance audit — uniqueness mechanism documented or risk-accepted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AT-09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RK-ID03, RK-ID05, RK-SC01, RK-CR01, RK-CR03, RK-EX03, RK-HX01, RK-HX03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Privacy audit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AT-10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RK-ID04, RK-EX01, RK-EX02, RK-SY01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Automated test on registry API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AT-14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RK-AI03, RK-AI04, RK-SY01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Load test + false-positive measurement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AT-03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RK-G03, RK-HX02, RK-SY01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Governance audit + VTA metric report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AT-12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GR-12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RK-AI01, RK-AI02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Automated test + SLA measurement</w:t>
            </w:r>
          </w:p>
        </w:tc>
      </w:tr>
    </w:tbl>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gt6tjjxznzm" w:id="6"/>
      <w:bookmarkEnd w:id="6"/>
      <w:r w:rsidDel="00000000" w:rsidR="00000000" w:rsidRPr="00000000">
        <w:rPr>
          <w:b w:val="1"/>
          <w:bCs w:val="1"/>
          <w:sz w:val="34"/>
          <w:szCs w:val="34"/>
          <w:rtl w:val="0"/>
        </w:rPr>
        <w:t xml:space="preserve">Eight Priority Recommendations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9v4530lkplg2" w:id="7"/>
      <w:bookmarkEnd w:id="7"/>
      <w:r w:rsidDel="00000000" w:rsidR="00000000" w:rsidRPr="00000000">
        <w:rPr>
          <w:b w:val="1"/>
          <w:bCs w:val="1"/>
          <w:color w:val="000000"/>
          <w:sz w:val="26"/>
          <w:szCs w:val="26"/>
          <w:rtl w:val="0"/>
        </w:rPr>
        <w:t xml:space="preserve">REC-1 · NORMATIVE — Uniqueness enforcement as phase-gate</w:t>
      </w:r>
    </w:p>
    <w:p w:rsidR="00000000" w:rsidDel="00000000" w:rsidP="00000000" w:rsidRDefault="00000000" w:rsidRPr="00000000" w14:paraId="000000C0">
      <w:pPr>
        <w:spacing w:after="240" w:before="240" w:lineRule="auto"/>
        <w:rPr/>
      </w:pPr>
      <w:r w:rsidDel="00000000" w:rsidR="00000000" w:rsidRPr="00000000">
        <w:rPr>
          <w:rFonts w:ascii="Roboto Mono" w:cs="Roboto Mono" w:eastAsia="Roboto Mono" w:hAnsi="Roboto Mono"/>
          <w:color w:val="188038"/>
          <w:rtl w:val="0"/>
        </w:rPr>
        <w:t xml:space="preserve">GR-07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CT-08</w:t>
      </w:r>
      <w:r w:rsidDel="00000000" w:rsidR="00000000" w:rsidRPr="00000000">
        <w:rPr>
          <w:rtl w:val="0"/>
        </w:rPr>
        <w:t xml:space="preserve"> must become normative MUST requirements before Phase 4 opens. The specification should define at minimum three acceptable mechanisms (ZKP personhood proof, trusted IDVP quorum, social recovery) and require governing bodies to select and document one. This is the single gap with the highest combined control coverage across trust-graph integrity, AI-mediated fraud, and the open issues cluster — and it is </w:t>
      </w:r>
      <w:r w:rsidDel="00000000" w:rsidR="00000000" w:rsidRPr="00000000">
        <w:rPr>
          <w:b w:val="1"/>
          <w:bCs w:val="1"/>
          <w:rtl w:val="0"/>
        </w:rPr>
        <w:t xml:space="preserve">completely absent</w:t>
      </w:r>
      <w:r w:rsidDel="00000000" w:rsidR="00000000" w:rsidRPr="00000000">
        <w:rPr>
          <w:rtl w:val="0"/>
        </w:rPr>
        <w:t xml:space="preserve"> from spec v0.3.</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x7plqr338wr0" w:id="8"/>
      <w:bookmarkEnd w:id="8"/>
      <w:r w:rsidDel="00000000" w:rsidR="00000000" w:rsidRPr="00000000">
        <w:rPr>
          <w:b w:val="1"/>
          <w:bCs w:val="1"/>
          <w:color w:val="000000"/>
          <w:sz w:val="26"/>
          <w:szCs w:val="26"/>
          <w:rtl w:val="0"/>
        </w:rPr>
        <w:t xml:space="preserve">REC-2 · NORMATIVE — AI agent governance as first-class specification area</w:t>
      </w:r>
    </w:p>
    <w:p w:rsidR="00000000" w:rsidDel="00000000" w:rsidP="00000000" w:rsidRDefault="00000000" w:rsidRPr="00000000" w14:paraId="000000C2">
      <w:pPr>
        <w:spacing w:after="240" w:before="240" w:lineRule="auto"/>
        <w:rPr/>
      </w:pPr>
      <w:r w:rsidDel="00000000" w:rsidR="00000000" w:rsidRPr="00000000">
        <w:rPr>
          <w:rtl w:val="0"/>
        </w:rPr>
        <w:t xml:space="preserve">All four AI Agent risks are High severity. The spec must include a dedicated chapter covering: </w:t>
      </w:r>
      <w:r w:rsidDel="00000000" w:rsidR="00000000" w:rsidRPr="00000000">
        <w:rPr>
          <w:rFonts w:ascii="Roboto Mono" w:cs="Roboto Mono" w:eastAsia="Roboto Mono" w:hAnsi="Roboto Mono"/>
          <w:color w:val="188038"/>
          <w:rtl w:val="0"/>
        </w:rPr>
        <w:t xml:space="preserve">CT-30</w:t>
      </w:r>
      <w:r w:rsidDel="00000000" w:rsidR="00000000" w:rsidRPr="00000000">
        <w:rPr>
          <w:rtl w:val="0"/>
        </w:rPr>
        <w:t xml:space="preserve"> (delegation scope constraints) as MUST; </w:t>
      </w:r>
      <w:r w:rsidDel="00000000" w:rsidR="00000000" w:rsidRPr="00000000">
        <w:rPr>
          <w:rFonts w:ascii="Roboto Mono" w:cs="Roboto Mono" w:eastAsia="Roboto Mono" w:hAnsi="Roboto Mono"/>
          <w:color w:val="188038"/>
          <w:rtl w:val="0"/>
        </w:rPr>
        <w:t xml:space="preserve">CT-32</w:t>
      </w:r>
      <w:r w:rsidDel="00000000" w:rsidR="00000000" w:rsidRPr="00000000">
        <w:rPr>
          <w:rtl w:val="0"/>
        </w:rPr>
        <w:t xml:space="preserve"> (operator VMC liveness check) as MUST; </w:t>
      </w:r>
      <w:r w:rsidDel="00000000" w:rsidR="00000000" w:rsidRPr="00000000">
        <w:rPr>
          <w:rFonts w:ascii="Roboto Mono" w:cs="Roboto Mono" w:eastAsia="Roboto Mono" w:hAnsi="Roboto Mono"/>
          <w:color w:val="188038"/>
          <w:rtl w:val="0"/>
        </w:rPr>
        <w:t xml:space="preserve">GR-14</w:t>
      </w:r>
      <w:r w:rsidDel="00000000" w:rsidR="00000000" w:rsidRPr="00000000">
        <w:rPr>
          <w:rtl w:val="0"/>
        </w:rPr>
        <w:t xml:space="preserve"> (non-human actor detection) as a Phase 4 pre-condition; </w:t>
      </w:r>
      <w:r w:rsidDel="00000000" w:rsidR="00000000" w:rsidRPr="00000000">
        <w:rPr>
          <w:rFonts w:ascii="Roboto Mono" w:cs="Roboto Mono" w:eastAsia="Roboto Mono" w:hAnsi="Roboto Mono"/>
          <w:color w:val="188038"/>
          <w:rtl w:val="0"/>
        </w:rPr>
        <w:t xml:space="preserve">CT-51</w:t>
      </w:r>
      <w:r w:rsidDel="00000000" w:rsidR="00000000" w:rsidRPr="00000000">
        <w:rPr>
          <w:rtl w:val="0"/>
        </w:rPr>
        <w:t xml:space="preserve"> (non-human DID designation) as MUST. This is a gap in every existing VC/DID standard.</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p5z3ap9ak7cn" w:id="9"/>
      <w:bookmarkEnd w:id="9"/>
      <w:r w:rsidDel="00000000" w:rsidR="00000000" w:rsidRPr="00000000">
        <w:rPr>
          <w:b w:val="1"/>
          <w:bCs w:val="1"/>
          <w:color w:val="000000"/>
          <w:sz w:val="26"/>
          <w:szCs w:val="26"/>
          <w:rtl w:val="0"/>
        </w:rPr>
        <w:t xml:space="preserve">REC-3 · NORMATIVE — Privacy-preserving revocation</w:t>
      </w:r>
    </w:p>
    <w:p w:rsidR="00000000" w:rsidDel="00000000" w:rsidP="00000000" w:rsidRDefault="00000000" w:rsidRPr="00000000" w14:paraId="000000C4">
      <w:pPr>
        <w:spacing w:after="240" w:before="240" w:lineRule="auto"/>
        <w:rPr/>
      </w:pPr>
      <w:r w:rsidDel="00000000" w:rsidR="00000000" w:rsidRPr="00000000">
        <w:rPr>
          <w:rFonts w:ascii="Roboto Mono" w:cs="Roboto Mono" w:eastAsia="Roboto Mono" w:hAnsi="Roboto Mono"/>
          <w:color w:val="188038"/>
          <w:rtl w:val="0"/>
        </w:rPr>
        <w:t xml:space="preserve">GR-09</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CT-24</w:t>
      </w:r>
      <w:r w:rsidDel="00000000" w:rsidR="00000000" w:rsidRPr="00000000">
        <w:rPr>
          <w:rtl w:val="0"/>
        </w:rPr>
        <w:t xml:space="preserve"> address 8 risks. Revocation status must not be publicly linked to real-world identity by default. Privacy-preserving revocation status mechanisms (e.g. W3C Status List 2021 with ZKP) must be normative MUST, not optional. </w:t>
      </w:r>
      <w:r w:rsidDel="00000000" w:rsidR="00000000" w:rsidRPr="00000000">
        <w:rPr>
          <w:rFonts w:ascii="Roboto Mono" w:cs="Roboto Mono" w:eastAsia="Roboto Mono" w:hAnsi="Roboto Mono"/>
          <w:color w:val="188038"/>
          <w:rtl w:val="0"/>
        </w:rPr>
        <w:t xml:space="preserve">CT-26</w:t>
      </w:r>
      <w:r w:rsidDel="00000000" w:rsidR="00000000" w:rsidRPr="00000000">
        <w:rPr>
          <w:rtl w:val="0"/>
        </w:rPr>
        <w:t xml:space="preserve"> (VTC-scoped revocation) must also be normative — cross-VTC contamination is a human rights risk arising from the architecture itself.</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ns68nu3xqad" w:id="10"/>
      <w:bookmarkEnd w:id="10"/>
      <w:r w:rsidDel="00000000" w:rsidR="00000000" w:rsidRPr="00000000">
        <w:rPr>
          <w:b w:val="1"/>
          <w:bCs w:val="1"/>
          <w:color w:val="000000"/>
          <w:sz w:val="26"/>
          <w:szCs w:val="26"/>
          <w:rtl w:val="0"/>
        </w:rPr>
        <w:t xml:space="preserve">REC-4 · NORMATIVE — Non-discriminatory admission and alternative identity proofing</w:t>
      </w:r>
    </w:p>
    <w:p w:rsidR="00000000" w:rsidDel="00000000" w:rsidP="00000000" w:rsidRDefault="00000000" w:rsidRPr="00000000" w14:paraId="000000C6">
      <w:pPr>
        <w:spacing w:after="240" w:before="240" w:lineRule="auto"/>
        <w:rPr/>
      </w:pPr>
      <w:r w:rsidDel="00000000" w:rsidR="00000000" w:rsidRPr="00000000">
        <w:rPr>
          <w:rFonts w:ascii="Roboto Mono" w:cs="Roboto Mono" w:eastAsia="Roboto Mono" w:hAnsi="Roboto Mono"/>
          <w:color w:val="188038"/>
          <w:rtl w:val="0"/>
        </w:rPr>
        <w:t xml:space="preserve">RK-ID02</w:t>
      </w:r>
      <w:r w:rsidDel="00000000" w:rsidR="00000000" w:rsidRPr="00000000">
        <w:rPr>
          <w:rtl w:val="0"/>
        </w:rPr>
        <w:t xml:space="preserve"> (Social Graph Privilege Exclusion) and </w:t>
      </w:r>
      <w:r w:rsidDel="00000000" w:rsidR="00000000" w:rsidRPr="00000000">
        <w:rPr>
          <w:rFonts w:ascii="Roboto Mono" w:cs="Roboto Mono" w:eastAsia="Roboto Mono" w:hAnsi="Roboto Mono"/>
          <w:color w:val="188038"/>
          <w:rtl w:val="0"/>
        </w:rPr>
        <w:t xml:space="preserve">RK-HX02</w:t>
      </w:r>
      <w:r w:rsidDel="00000000" w:rsidR="00000000" w:rsidRPr="00000000">
        <w:rPr>
          <w:rtl w:val="0"/>
        </w:rPr>
        <w:t xml:space="preserve"> (Discriminatory Vouching) are both High severity and High likelihood — the most urgent combination in the dataset. The spec must require: (a) published non-discriminatory admission criteria (</w:t>
      </w:r>
      <w:r w:rsidDel="00000000" w:rsidR="00000000" w:rsidRPr="00000000">
        <w:rPr>
          <w:rFonts w:ascii="Roboto Mono" w:cs="Roboto Mono" w:eastAsia="Roboto Mono" w:hAnsi="Roboto Mono"/>
          <w:color w:val="188038"/>
          <w:rtl w:val="0"/>
        </w:rPr>
        <w:t xml:space="preserve">CT-10</w:t>
      </w:r>
      <w:r w:rsidDel="00000000" w:rsidR="00000000" w:rsidRPr="00000000">
        <w:rPr>
          <w:rtl w:val="0"/>
        </w:rPr>
        <w:t xml:space="preserve">); (b) at least one admission pathway not requiring government-issued ID (</w:t>
      </w:r>
      <w:r w:rsidDel="00000000" w:rsidR="00000000" w:rsidRPr="00000000">
        <w:rPr>
          <w:rFonts w:ascii="Roboto Mono" w:cs="Roboto Mono" w:eastAsia="Roboto Mono" w:hAnsi="Roboto Mono"/>
          <w:color w:val="188038"/>
          <w:rtl w:val="0"/>
        </w:rPr>
        <w:t xml:space="preserve">CT-11</w:t>
      </w:r>
      <w:r w:rsidDel="00000000" w:rsidR="00000000" w:rsidRPr="00000000">
        <w:rPr>
          <w:rtl w:val="0"/>
        </w:rPr>
        <w:t xml:space="preserve">); (c) a documented appeals process (</w:t>
      </w:r>
      <w:r w:rsidDel="00000000" w:rsidR="00000000" w:rsidRPr="00000000">
        <w:rPr>
          <w:rFonts w:ascii="Roboto Mono" w:cs="Roboto Mono" w:eastAsia="Roboto Mono" w:hAnsi="Roboto Mono"/>
          <w:color w:val="188038"/>
          <w:rtl w:val="0"/>
        </w:rPr>
        <w:t xml:space="preserve">GR-08</w:t>
      </w:r>
      <w:r w:rsidDel="00000000" w:rsidR="00000000" w:rsidRPr="00000000">
        <w:rPr>
          <w:rtl w:val="0"/>
        </w:rPr>
        <w:t xml:space="preserve">). These are simultaneously legal requirements in most jurisdictions.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87n7kl7bbgne" w:id="11"/>
      <w:bookmarkEnd w:id="11"/>
      <w:r w:rsidDel="00000000" w:rsidR="00000000" w:rsidRPr="00000000">
        <w:rPr>
          <w:b w:val="1"/>
          <w:bCs w:val="1"/>
          <w:color w:val="000000"/>
          <w:sz w:val="26"/>
          <w:szCs w:val="26"/>
          <w:rtl w:val="0"/>
        </w:rPr>
        <w:t xml:space="preserve">REC-5 · NORMATIVE — Multi-party registry write authorisation</w:t>
      </w:r>
    </w:p>
    <w:p w:rsidR="00000000" w:rsidDel="00000000" w:rsidP="00000000" w:rsidRDefault="00000000" w:rsidRPr="00000000" w14:paraId="000000C8">
      <w:pPr>
        <w:spacing w:after="240" w:before="240" w:lineRule="auto"/>
        <w:rPr/>
      </w:pPr>
      <w:r w:rsidDel="00000000" w:rsidR="00000000" w:rsidRPr="00000000">
        <w:rPr>
          <w:rFonts w:ascii="Roboto Mono" w:cs="Roboto Mono" w:eastAsia="Roboto Mono" w:hAnsi="Roboto Mono"/>
          <w:color w:val="188038"/>
          <w:rtl w:val="0"/>
        </w:rPr>
        <w:t xml:space="preserve">CT-45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GR-10</w:t>
      </w:r>
      <w:r w:rsidDel="00000000" w:rsidR="00000000" w:rsidRPr="00000000">
        <w:rPr>
          <w:rtl w:val="0"/>
        </w:rPr>
        <w:t xml:space="preserve"> address trust graph capture, state coercion, and registry manipulation together. Multi-party / threshold write authorisation must be a normative MUST in the DTG trust registry specification, with minimum thresholds defined (e.g. 2-of-3 for small VTCs) and tamper-evident audit trails required for all writes.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cavdhx7s6kmi" w:id="12"/>
      <w:bookmarkEnd w:id="12"/>
      <w:r w:rsidDel="00000000" w:rsidR="00000000" w:rsidRPr="00000000">
        <w:rPr>
          <w:b w:val="1"/>
          <w:bCs w:val="1"/>
          <w:color w:val="000000"/>
          <w:sz w:val="26"/>
          <w:szCs w:val="26"/>
          <w:rtl w:val="0"/>
        </w:rPr>
        <w:t xml:space="preserve">REC-6 · RECOMMENDED — Formal threat model as standards deliverable</w:t>
      </w:r>
    </w:p>
    <w:p w:rsidR="00000000" w:rsidDel="00000000" w:rsidP="00000000" w:rsidRDefault="00000000" w:rsidRPr="00000000" w14:paraId="000000CA">
      <w:pPr>
        <w:spacing w:after="240" w:before="240" w:lineRule="auto"/>
        <w:rPr/>
      </w:pPr>
      <w:r w:rsidDel="00000000" w:rsidR="00000000" w:rsidRPr="00000000">
        <w:rPr>
          <w:rFonts w:ascii="Roboto Mono" w:cs="Roboto Mono" w:eastAsia="Roboto Mono" w:hAnsi="Roboto Mono"/>
          <w:color w:val="188038"/>
          <w:rtl w:val="0"/>
        </w:rPr>
        <w:t xml:space="preserve">GR-16</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CT-48</w:t>
      </w:r>
      <w:r w:rsidDel="00000000" w:rsidR="00000000" w:rsidRPr="00000000">
        <w:rPr>
          <w:rtl w:val="0"/>
        </w:rPr>
        <w:t xml:space="preserve">. The DTGWG should publish the threat model as a standalone deliverable normatively referenced by the credential specification, so implementations can demonstrate conformance against it. Assurance test </w:t>
      </w:r>
      <w:r w:rsidDel="00000000" w:rsidR="00000000" w:rsidRPr="00000000">
        <w:rPr>
          <w:rFonts w:ascii="Roboto Mono" w:cs="Roboto Mono" w:eastAsia="Roboto Mono" w:hAnsi="Roboto Mono"/>
          <w:color w:val="188038"/>
          <w:rtl w:val="0"/>
        </w:rPr>
        <w:t xml:space="preserve">AT-16</w:t>
      </w:r>
      <w:r w:rsidDel="00000000" w:rsidR="00000000" w:rsidRPr="00000000">
        <w:rPr>
          <w:rtl w:val="0"/>
        </w:rPr>
        <w:t xml:space="preserve"> defines the pass criterion.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tfvwn0eh15nh" w:id="13"/>
      <w:bookmarkEnd w:id="13"/>
      <w:r w:rsidDel="00000000" w:rsidR="00000000" w:rsidRPr="00000000">
        <w:rPr>
          <w:b w:val="1"/>
          <w:bCs w:val="1"/>
          <w:color w:val="000000"/>
          <w:sz w:val="26"/>
          <w:szCs w:val="26"/>
          <w:rtl w:val="0"/>
        </w:rPr>
        <w:t xml:space="preserve">REC-7 · RECOMMENDED — UX design principles as normative annex</w:t>
      </w:r>
    </w:p>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color w:val="188038"/>
          <w:rtl w:val="0"/>
        </w:rPr>
        <w:t xml:space="preserve">RK-NM01</w:t>
      </w:r>
      <w:r w:rsidDel="00000000" w:rsidR="00000000" w:rsidRPr="00000000">
        <w:rPr>
          <w:rtl w:val="0"/>
        </w:rPr>
        <w:t xml:space="preserve"> is High severity and High likelihood. The DTGWG itself identifies UX as "the single hardest problem." </w:t>
      </w:r>
      <w:r w:rsidDel="00000000" w:rsidR="00000000" w:rsidRPr="00000000">
        <w:rPr>
          <w:rFonts w:ascii="Roboto Mono" w:cs="Roboto Mono" w:eastAsia="Roboto Mono" w:hAnsi="Roboto Mono"/>
          <w:color w:val="188038"/>
          <w:rtl w:val="0"/>
        </w:rPr>
        <w:t xml:space="preserve">CT-20</w:t>
      </w:r>
      <w:r w:rsidDel="00000000" w:rsidR="00000000" w:rsidRPr="00000000">
        <w:rPr>
          <w:rtl w:val="0"/>
        </w:rPr>
        <w:t xml:space="preserve"> (sovereign wallet UX design principles) and </w:t>
      </w:r>
      <w:r w:rsidDel="00000000" w:rsidR="00000000" w:rsidRPr="00000000">
        <w:rPr>
          <w:rFonts w:ascii="Roboto Mono" w:cs="Roboto Mono" w:eastAsia="Roboto Mono" w:hAnsi="Roboto Mono"/>
          <w:color w:val="188038"/>
          <w:rtl w:val="0"/>
        </w:rPr>
        <w:t xml:space="preserve">CT-21</w:t>
      </w:r>
      <w:r w:rsidDel="00000000" w:rsidR="00000000" w:rsidRPr="00000000">
        <w:rPr>
          <w:rtl w:val="0"/>
        </w:rPr>
        <w:t xml:space="preserve"> (non-technical user onboarding testing) should be a normative annex, not left to implementations — poor UX creates security failures, not just usability problems.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5gr5shtb8def" w:id="14"/>
      <w:bookmarkEnd w:id="14"/>
      <w:r w:rsidDel="00000000" w:rsidR="00000000" w:rsidRPr="00000000">
        <w:rPr>
          <w:b w:val="1"/>
          <w:bCs w:val="1"/>
          <w:color w:val="000000"/>
          <w:sz w:val="26"/>
          <w:szCs w:val="26"/>
          <w:rtl w:val="0"/>
        </w:rPr>
        <w:t xml:space="preserve">REC-8 · PROCESS — Mandatory open issues resolution before Phase 4</w:t>
      </w:r>
    </w:p>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color w:val="188038"/>
          <w:rtl w:val="0"/>
        </w:rPr>
        <w:t xml:space="preserve">GR-17</w:t>
      </w:r>
      <w:r w:rsidDel="00000000" w:rsidR="00000000" w:rsidRPr="00000000">
        <w:rPr>
          <w:rtl w:val="0"/>
        </w:rPr>
        <w:t xml:space="preserve">. The four bootstrapping open issues (uniqueness, trust task protocols, expiration/revocation, DID document storage) must each have a documented mitigation or signed risk-acceptance with a review date before any implementation claims Phase 4 conformance. </w:t>
      </w:r>
      <w:r w:rsidDel="00000000" w:rsidR="00000000" w:rsidRPr="00000000">
        <w:rPr>
          <w:rFonts w:ascii="Roboto Mono" w:cs="Roboto Mono" w:eastAsia="Roboto Mono" w:hAnsi="Roboto Mono"/>
          <w:color w:val="188038"/>
          <w:rtl w:val="0"/>
        </w:rPr>
        <w:t xml:space="preserve">AT-17</w:t>
      </w:r>
      <w:r w:rsidDel="00000000" w:rsidR="00000000" w:rsidRPr="00000000">
        <w:rPr>
          <w:rtl w:val="0"/>
        </w:rPr>
        <w:t xml:space="preserve"> provides the governance audit criterion.</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w40clgbb8qtp" w:id="15"/>
      <w:bookmarkEnd w:id="15"/>
      <w:r w:rsidDel="00000000" w:rsidR="00000000" w:rsidRPr="00000000">
        <w:rPr>
          <w:b w:val="1"/>
          <w:bCs w:val="1"/>
          <w:sz w:val="34"/>
          <w:szCs w:val="34"/>
          <w:rtl w:val="0"/>
        </w:rPr>
        <w:t xml:space="preserve">Spec v0.3 Gap Summary</w:t>
      </w:r>
    </w:p>
    <w:p w:rsidR="00000000" w:rsidDel="00000000" w:rsidP="00000000" w:rsidRDefault="00000000" w:rsidRPr="00000000" w14:paraId="000000D0">
      <w:pPr>
        <w:spacing w:after="240" w:before="240" w:lineRule="auto"/>
        <w:rPr/>
      </w:pPr>
      <w:r w:rsidDel="00000000" w:rsidR="00000000" w:rsidRPr="00000000">
        <w:rPr>
          <w:rtl w:val="0"/>
        </w:rPr>
        <w:t xml:space="preserve">The March 2026 DTG Credential Specification review introduced four new risks and identified the following gaps: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What spec v0.3 gets right:</w:t>
      </w:r>
      <w:r w:rsidDel="00000000" w:rsidR="00000000" w:rsidRPr="00000000">
        <w:rPr>
          <w:rtl w:val="0"/>
        </w:rPr>
        <w:t xml:space="preserve"> R-DID MUST per-relationship (</w:t>
      </w:r>
      <w:r w:rsidDel="00000000" w:rsidR="00000000" w:rsidRPr="00000000">
        <w:rPr>
          <w:rFonts w:ascii="Roboto Mono" w:cs="Roboto Mono" w:eastAsia="Roboto Mono" w:hAnsi="Roboto Mono"/>
          <w:color w:val="188038"/>
          <w:rtl w:val="0"/>
        </w:rPr>
        <w:t xml:space="preserve">§5.2</w:t>
      </w:r>
      <w:r w:rsidDel="00000000" w:rsidR="00000000" w:rsidRPr="00000000">
        <w:rPr>
          <w:rtl w:val="0"/>
        </w:rPr>
        <w:t xml:space="preserve">) reduces </w:t>
      </w:r>
      <w:r w:rsidDel="00000000" w:rsidR="00000000" w:rsidRPr="00000000">
        <w:rPr>
          <w:rFonts w:ascii="Roboto Mono" w:cs="Roboto Mono" w:eastAsia="Roboto Mono" w:hAnsi="Roboto Mono"/>
          <w:color w:val="188038"/>
          <w:rtl w:val="0"/>
        </w:rPr>
        <w:t xml:space="preserve">RK-ID05</w:t>
      </w:r>
      <w:r w:rsidDel="00000000" w:rsidR="00000000" w:rsidRPr="00000000">
        <w:rPr>
          <w:rtl w:val="0"/>
        </w:rPr>
        <w:t xml:space="preserve"> likelihood. Bilateral VRC signatures partially implement </w:t>
      </w:r>
      <w:r w:rsidDel="00000000" w:rsidR="00000000" w:rsidRPr="00000000">
        <w:rPr>
          <w:rFonts w:ascii="Roboto Mono" w:cs="Roboto Mono" w:eastAsia="Roboto Mono" w:hAnsi="Roboto Mono"/>
          <w:color w:val="188038"/>
          <w:rtl w:val="0"/>
        </w:rPr>
        <w:t xml:space="preserve">GR-04</w:t>
      </w:r>
      <w:r w:rsidDel="00000000" w:rsidR="00000000" w:rsidRPr="00000000">
        <w:rPr>
          <w:rtl w:val="0"/>
        </w:rPr>
        <w:t xml:space="preserve">. Witness Credential (</w:t>
      </w:r>
      <w:r w:rsidDel="00000000" w:rsidR="00000000" w:rsidRPr="00000000">
        <w:rPr>
          <w:rFonts w:ascii="Roboto Mono" w:cs="Roboto Mono" w:eastAsia="Roboto Mono" w:hAnsi="Roboto Mono"/>
          <w:color w:val="188038"/>
          <w:rtl w:val="0"/>
        </w:rPr>
        <w:t xml:space="preserve">§7.3</w:t>
      </w:r>
      <w:r w:rsidDel="00000000" w:rsidR="00000000" w:rsidRPr="00000000">
        <w:rPr>
          <w:rtl w:val="0"/>
        </w:rPr>
        <w:t xml:space="preserve">) partially counters </w:t>
      </w:r>
      <w:r w:rsidDel="00000000" w:rsidR="00000000" w:rsidRPr="00000000">
        <w:rPr>
          <w:rFonts w:ascii="Roboto Mono" w:cs="Roboto Mono" w:eastAsia="Roboto Mono" w:hAnsi="Roboto Mono"/>
          <w:color w:val="188038"/>
          <w:rtl w:val="0"/>
        </w:rPr>
        <w:t xml:space="preserve">RK-AI04</w:t>
      </w:r>
      <w:r w:rsidDel="00000000" w:rsidR="00000000" w:rsidRPr="00000000">
        <w:rPr>
          <w:rtl w:val="0"/>
        </w:rPr>
        <w:t xml:space="preserve">. Format-agnostic ZKP supports algorithm agility.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New risks introduced by spec v0.3 design choices:</w:t>
      </w:r>
    </w:p>
    <w:p w:rsidR="00000000" w:rsidDel="00000000" w:rsidP="00000000" w:rsidRDefault="00000000" w:rsidRPr="00000000" w14:paraId="000000D3">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RK-SC03</w:t>
      </w:r>
      <w:r w:rsidDel="00000000" w:rsidR="00000000" w:rsidRPr="00000000">
        <w:rPr>
          <w:rtl w:val="0"/>
        </w:rPr>
        <w:t xml:space="preserve"> — VRC core schema allows rich data embedding with no normative constraint to use annotation credentials (</w:t>
      </w:r>
      <w:r w:rsidDel="00000000" w:rsidR="00000000" w:rsidRPr="00000000">
        <w:rPr>
          <w:rFonts w:ascii="Roboto Mono" w:cs="Roboto Mono" w:eastAsia="Roboto Mono" w:hAnsi="Roboto Mono"/>
          <w:color w:val="188038"/>
          <w:rtl w:val="0"/>
        </w:rPr>
        <w:t xml:space="preserve">§5.2</w:t>
      </w:r>
      <w:r w:rsidDel="00000000" w:rsidR="00000000" w:rsidRPr="00000000">
        <w:rPr>
          <w:rtl w:val="0"/>
        </w:rPr>
        <w:t xml:space="preserve">), undermining ZKP selective disclosure</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RK-SC04</w:t>
      </w:r>
      <w:r w:rsidDel="00000000" w:rsidR="00000000" w:rsidRPr="00000000">
        <w:rPr>
          <w:rtl w:val="0"/>
        </w:rPr>
        <w:t xml:space="preserve"> — M-DID bootstrapping exception has no normative migration trigger, making the R-DID privacy guarantee contingent on a transition that may never happen</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RK-CR04</w:t>
      </w:r>
      <w:r w:rsidDel="00000000" w:rsidR="00000000" w:rsidRPr="00000000">
        <w:rPr>
          <w:rtl w:val="0"/>
        </w:rPr>
        <w:t xml:space="preserve"> — VEC endorsement structure is open-ended, enabling coordinated reputation inflation by bad actors (</w:t>
      </w:r>
      <w:r w:rsidDel="00000000" w:rsidR="00000000" w:rsidRPr="00000000">
        <w:rPr>
          <w:rFonts w:ascii="Roboto Mono" w:cs="Roboto Mono" w:eastAsia="Roboto Mono" w:hAnsi="Roboto Mono"/>
          <w:color w:val="188038"/>
          <w:rtl w:val="0"/>
        </w:rPr>
        <w:t xml:space="preserve">§7.2</w:t>
      </w:r>
      <w:r w:rsidDel="00000000" w:rsidR="00000000" w:rsidRPr="00000000">
        <w:rPr>
          <w:rtl w:val="0"/>
        </w:rPr>
        <w:t xml:space="preserve">)</w:t>
      </w:r>
    </w:p>
    <w:p w:rsidR="00000000" w:rsidDel="00000000" w:rsidP="00000000" w:rsidRDefault="00000000" w:rsidRPr="00000000" w14:paraId="000000D6">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RK-G05</w:t>
      </w:r>
      <w:r w:rsidDel="00000000" w:rsidR="00000000" w:rsidRPr="00000000">
        <w:rPr>
          <w:rtl w:val="0"/>
        </w:rPr>
        <w:t xml:space="preserve"> — No normative governance pre-condition for credential compliance; a governanceless VTC can claim spec conformance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Critical gaps before Implementer's Draft:</w:t>
      </w:r>
      <w:r w:rsidDel="00000000" w:rsidR="00000000" w:rsidRPr="00000000">
        <w:rPr>
          <w:rtl w:val="0"/>
        </w:rPr>
        <w:t xml:space="preserve"> R1 (non-human participant governance §10), R2 (uniqueness enforcement levels), R3 (revocation placeholder with normative hook), R4 (VIC role embedding).</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High-priority this draft cycle:</w:t>
      </w:r>
      <w:r w:rsidDel="00000000" w:rsidR="00000000" w:rsidRPr="00000000">
        <w:rPr>
          <w:rtl w:val="0"/>
        </w:rPr>
        <w:t xml:space="preserve"> R5 (JSON-LD context as resolvable artefact), R6 (VRC data minimisation clause), R7 (R-DID migration trigger as MUST), R8 (governance conformance class).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cputdd3fvld3" w:id="16"/>
      <w:bookmarkEnd w:id="16"/>
      <w:r w:rsidDel="00000000" w:rsidR="00000000" w:rsidRPr="00000000">
        <w:rPr>
          <w:b w:val="1"/>
          <w:bCs w:val="1"/>
          <w:sz w:val="34"/>
          <w:szCs w:val="34"/>
          <w:rtl w:val="0"/>
        </w:rPr>
        <w:t xml:space="preserve">High-Priority Risk Shortlist (score 9 or 6)</w:t>
      </w:r>
    </w:p>
    <w:p w:rsidR="00000000" w:rsidDel="00000000" w:rsidP="00000000" w:rsidRDefault="00000000" w:rsidRPr="00000000" w14:paraId="000000DA">
      <w:pPr>
        <w:spacing w:after="240" w:before="240" w:lineRule="auto"/>
        <w:rPr/>
      </w:pPr>
      <w:r w:rsidDel="00000000" w:rsidR="00000000" w:rsidRPr="00000000">
        <w:rPr>
          <w:rtl w:val="0"/>
        </w:rPr>
        <w:t xml:space="preserve">Score = Severity × Likelihood (H=3, M=2, L=1). The four score-9 risks are the immediate standards action set.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8.3134405812143"/>
        <w:gridCol w:w="3735.2568759730148"/>
        <w:gridCol w:w="777.1665801764401"/>
        <w:gridCol w:w="3939.2631032693307"/>
        <w:tblGridChange w:id="0">
          <w:tblGrid>
            <w:gridCol w:w="908.3134405812143"/>
            <w:gridCol w:w="3735.2568759730148"/>
            <w:gridCol w:w="777.1665801764401"/>
            <w:gridCol w:w="3939.26310326933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Addresses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RK-ID01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Sybil Identity Proliferation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GR-07, GR-04, CT-08, CT-09, AT-04, AT-07</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RK-ID02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Social Graph Privilege Exclusion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GR-06, CT-10, CT-11, AT-06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RK-NM01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Personal Network Manager UX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GR-06, CT-20, CT-21, AT-06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RK-SY03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Open Issues Left Unresolved at Scale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GR-07, GR-17, CT-47, CT-48, AT-07, AT-17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RK-G03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Anchor Homogeneity / Collusion Cluster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GR-03, GR-11, CT-04, CT-05, AT-03, AT-11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RK-G04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Governance Bandwidth Exhaustion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GR-08, GR-15, CT-06, CT-07, AT-08, AT-15</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RK-SC04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M-DID Bootstrapping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GR-18, CT-50, AT-18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RK-G05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Governanceless VTC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GR-01, GR-02, CT-56, AT-01, AT-02</w:t>
            </w:r>
          </w:p>
        </w:tc>
      </w:tr>
    </w:tbl>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Full risk register, controls catalogue, and cross-reference matrices: [DTG RAHP Risk Register v4] and [DTG RAHP User Stories Framework v3]</w:t>
      </w:r>
      <w:r w:rsidDel="00000000" w:rsidR="00000000" w:rsidRPr="00000000">
        <w:rPr>
          <w:rtl w:val="0"/>
        </w:rPr>
        <w:t xml:space="preserve"> </w:t>
      </w:r>
      <w:r w:rsidDel="00000000" w:rsidR="00000000" w:rsidRPr="00000000">
        <w:rPr>
          <w:i w:val="1"/>
          <w:iCs w:val="1"/>
          <w:rtl w:val="0"/>
        </w:rPr>
        <w:t xml:space="preserve">Interactive reference: index.html / matrix.html / risks.html (DTG RAHP HTML package) </w:t>
      </w:r>
      <w:hyperlink r:id="rId6">
        <w:r w:rsidDel="00000000" w:rsidR="00000000" w:rsidRPr="00000000">
          <w:rPr>
            <w:i w:val="1"/>
            <w:iCs w:val="1"/>
            <w:color w:val="1155cc"/>
            <w:u w:val="single"/>
            <w:rtl w:val="0"/>
          </w:rPr>
          <w:t xml:space="preserve">See ShareDrive</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5IpstdVw-Tp2-WSrISi87vr7FO95zA24?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