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SEED_001_sample_audit_intake.txt</w:t>
      </w:r>
    </w:p>
    <w:p>
      <w:r>
        <w:t>Generated: 2026-07-16T04:13:22.356911+00:00</w:t>
      </w:r>
    </w:p>
    <w:p>
      <w:r>
        <w:t>Extracted Characters: 2726</w:t>
      </w:r>
    </w:p>
    <w:p>
      <w:pPr>
        <w:pStyle w:val="Heading1"/>
      </w:pPr>
      <w:r>
        <w:t>1. Deception Scan</w:t>
      </w:r>
    </w:p>
    <w:p>
      <w:r>
        <w:t>Shannon Entropy: 4.717 bits/char</w:t>
      </w:r>
    </w:p>
    <w:p>
      <w:r>
        <w:t>Deception Probability: 71.4%</w:t>
      </w:r>
    </w:p>
    <w:p>
      <w:r>
        <w:t>Patterns Detected: 1 / 54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Overall Compliant: False</w:t>
      </w:r>
    </w:p>
    <w:p>
      <w:r>
        <w:t>GRACE Risk Level: LOW</w:t>
      </w:r>
    </w:p>
    <w:p>
      <w:r>
        <w:t>FRUIT Composite Value Score: 0.400000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