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7F2B" w14:textId="77777777" w:rsidR="00E44DE0" w:rsidRDefault="00000000">
      <w:pPr>
        <w:rPr>
          <w:b/>
          <w:bCs/>
          <w:sz w:val="32"/>
          <w:szCs w:val="32"/>
        </w:rPr>
      </w:pPr>
      <w:r>
        <w:rPr>
          <w:b/>
          <w:bCs/>
          <w:sz w:val="32"/>
          <w:szCs w:val="32"/>
        </w:rPr>
        <w:t>AIVU: The System Architecture of Truth</w:t>
      </w:r>
    </w:p>
    <w:p w14:paraId="0AB67821" w14:textId="77777777" w:rsidR="00E44DE0" w:rsidRDefault="00000000">
      <w:pPr>
        <w:rPr>
          <w:sz w:val="22"/>
          <w:szCs w:val="22"/>
        </w:rPr>
      </w:pPr>
      <w:r>
        <w:rPr>
          <w:sz w:val="22"/>
          <w:szCs w:val="22"/>
        </w:rPr>
        <w:t>Jan-Dieter Spalink (Author)</w:t>
      </w:r>
      <w:r>
        <w:rPr>
          <w:sz w:val="22"/>
          <w:szCs w:val="22"/>
        </w:rPr>
        <w:br/>
        <w:t>v3.0    May 10th, 2026</w:t>
      </w:r>
    </w:p>
    <w:p w14:paraId="152B45DC" w14:textId="77777777" w:rsidR="00E44DE0" w:rsidRDefault="00E44DE0">
      <w:pPr>
        <w:rPr>
          <w:sz w:val="28"/>
          <w:szCs w:val="28"/>
        </w:rPr>
      </w:pPr>
    </w:p>
    <w:p w14:paraId="3823C16B" w14:textId="283FC16A" w:rsidR="00E44DE0" w:rsidRDefault="00000000">
      <w:pPr>
        <w:rPr>
          <w:sz w:val="28"/>
          <w:szCs w:val="28"/>
        </w:rPr>
      </w:pPr>
      <w:r>
        <w:rPr>
          <w:b/>
          <w:bCs/>
          <w:sz w:val="28"/>
          <w:szCs w:val="28"/>
        </w:rPr>
        <w:t>Contents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F63EF2">
        <w:rPr>
          <w:b/>
          <w:bCs/>
          <w:sz w:val="28"/>
          <w:szCs w:val="28"/>
        </w:rPr>
        <w:tab/>
      </w:r>
      <w:r w:rsidR="00F63EF2">
        <w:rPr>
          <w:b/>
          <w:bCs/>
          <w:sz w:val="28"/>
          <w:szCs w:val="28"/>
        </w:rPr>
        <w:tab/>
      </w:r>
      <w:r w:rsidR="00F63EF2">
        <w:rPr>
          <w:b/>
          <w:bCs/>
          <w:sz w:val="28"/>
          <w:szCs w:val="28"/>
        </w:rPr>
        <w:tab/>
      </w:r>
      <w:r w:rsidR="00F63EF2">
        <w:rPr>
          <w:b/>
          <w:bCs/>
          <w:sz w:val="28"/>
          <w:szCs w:val="28"/>
        </w:rPr>
        <w:tab/>
        <w:t xml:space="preserve"> </w:t>
      </w:r>
      <w:r>
        <w:t>Page</w:t>
      </w:r>
    </w:p>
    <w:sdt>
      <w:sdtPr>
        <w:id w:val="-2054917955"/>
        <w:docPartObj>
          <w:docPartGallery w:val="Table of Contents"/>
          <w:docPartUnique/>
        </w:docPartObj>
      </w:sdtPr>
      <w:sdtEndPr>
        <w:rPr>
          <w:rFonts w:asciiTheme="minorHAnsi" w:eastAsiaTheme="minorHAnsi" w:hAnsiTheme="minorHAnsi" w:cstheme="minorBidi"/>
          <w:noProof/>
          <w:color w:val="auto"/>
          <w:kern w:val="2"/>
          <w:sz w:val="24"/>
          <w:szCs w:val="24"/>
        </w:rPr>
      </w:sdtEndPr>
      <w:sdtContent>
        <w:p w14:paraId="7EFE00BD" w14:textId="3E78FE59" w:rsidR="00F63EF2" w:rsidRDefault="00F63EF2">
          <w:pPr>
            <w:pStyle w:val="TOCHeading"/>
          </w:pPr>
          <w:r>
            <w:t>Table of Contents</w:t>
          </w:r>
        </w:p>
        <w:p w14:paraId="4785029A" w14:textId="2897D624" w:rsidR="00F63EF2" w:rsidRDefault="00F63EF2">
          <w:pPr>
            <w:pStyle w:val="TOC1"/>
            <w:tabs>
              <w:tab w:val="right" w:leader="dot" w:pos="9926"/>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9320674" w:history="1">
            <w:r w:rsidRPr="0079039A">
              <w:rPr>
                <w:rStyle w:val="Hyperlink"/>
                <w:noProof/>
              </w:rPr>
              <w:t>Overview</w:t>
            </w:r>
            <w:r>
              <w:rPr>
                <w:noProof/>
                <w:webHidden/>
              </w:rPr>
              <w:tab/>
            </w:r>
            <w:r>
              <w:rPr>
                <w:noProof/>
                <w:webHidden/>
              </w:rPr>
              <w:fldChar w:fldCharType="begin"/>
            </w:r>
            <w:r>
              <w:rPr>
                <w:noProof/>
                <w:webHidden/>
              </w:rPr>
              <w:instrText xml:space="preserve"> PAGEREF _Toc229320674 \h </w:instrText>
            </w:r>
            <w:r>
              <w:rPr>
                <w:noProof/>
                <w:webHidden/>
              </w:rPr>
            </w:r>
            <w:r>
              <w:rPr>
                <w:noProof/>
                <w:webHidden/>
              </w:rPr>
              <w:fldChar w:fldCharType="separate"/>
            </w:r>
            <w:r>
              <w:rPr>
                <w:noProof/>
                <w:webHidden/>
              </w:rPr>
              <w:t>1</w:t>
            </w:r>
            <w:r>
              <w:rPr>
                <w:noProof/>
                <w:webHidden/>
              </w:rPr>
              <w:fldChar w:fldCharType="end"/>
            </w:r>
          </w:hyperlink>
        </w:p>
        <w:p w14:paraId="54C19D25" w14:textId="454876ED" w:rsidR="00F63EF2" w:rsidRDefault="00F63EF2">
          <w:pPr>
            <w:pStyle w:val="TOC2"/>
            <w:tabs>
              <w:tab w:val="right" w:leader="dot" w:pos="9926"/>
            </w:tabs>
            <w:rPr>
              <w:rFonts w:eastAsiaTheme="minorEastAsia"/>
              <w:b w:val="0"/>
              <w:bCs w:val="0"/>
              <w:noProof/>
              <w:sz w:val="24"/>
              <w:szCs w:val="24"/>
            </w:rPr>
          </w:pPr>
          <w:hyperlink w:anchor="_Toc229320675" w:history="1">
            <w:r w:rsidRPr="0079039A">
              <w:rPr>
                <w:rStyle w:val="Hyperlink"/>
                <w:noProof/>
              </w:rPr>
              <w:t>Node 1: Capturing Physical Reality at the Edge</w:t>
            </w:r>
            <w:r>
              <w:rPr>
                <w:noProof/>
                <w:webHidden/>
              </w:rPr>
              <w:tab/>
            </w:r>
            <w:r>
              <w:rPr>
                <w:noProof/>
                <w:webHidden/>
              </w:rPr>
              <w:fldChar w:fldCharType="begin"/>
            </w:r>
            <w:r>
              <w:rPr>
                <w:noProof/>
                <w:webHidden/>
              </w:rPr>
              <w:instrText xml:space="preserve"> PAGEREF _Toc229320675 \h </w:instrText>
            </w:r>
            <w:r>
              <w:rPr>
                <w:noProof/>
                <w:webHidden/>
              </w:rPr>
            </w:r>
            <w:r>
              <w:rPr>
                <w:noProof/>
                <w:webHidden/>
              </w:rPr>
              <w:fldChar w:fldCharType="separate"/>
            </w:r>
            <w:r>
              <w:rPr>
                <w:noProof/>
                <w:webHidden/>
              </w:rPr>
              <w:t>1</w:t>
            </w:r>
            <w:r>
              <w:rPr>
                <w:noProof/>
                <w:webHidden/>
              </w:rPr>
              <w:fldChar w:fldCharType="end"/>
            </w:r>
          </w:hyperlink>
        </w:p>
        <w:p w14:paraId="22B66E0F" w14:textId="1956AF11" w:rsidR="00F63EF2" w:rsidRDefault="00F63EF2">
          <w:pPr>
            <w:pStyle w:val="TOC2"/>
            <w:tabs>
              <w:tab w:val="right" w:leader="dot" w:pos="9926"/>
            </w:tabs>
            <w:rPr>
              <w:rFonts w:eastAsiaTheme="minorEastAsia"/>
              <w:b w:val="0"/>
              <w:bCs w:val="0"/>
              <w:noProof/>
              <w:sz w:val="24"/>
              <w:szCs w:val="24"/>
            </w:rPr>
          </w:pPr>
          <w:hyperlink w:anchor="_Toc229320676" w:history="1">
            <w:r w:rsidRPr="0079039A">
              <w:rPr>
                <w:rStyle w:val="Hyperlink"/>
                <w:noProof/>
              </w:rPr>
              <w:t>Node 2: Orchestration via the Big Digital Twin</w:t>
            </w:r>
            <w:r>
              <w:rPr>
                <w:noProof/>
                <w:webHidden/>
              </w:rPr>
              <w:tab/>
            </w:r>
            <w:r>
              <w:rPr>
                <w:noProof/>
                <w:webHidden/>
              </w:rPr>
              <w:fldChar w:fldCharType="begin"/>
            </w:r>
            <w:r>
              <w:rPr>
                <w:noProof/>
                <w:webHidden/>
              </w:rPr>
              <w:instrText xml:space="preserve"> PAGEREF _Toc229320676 \h </w:instrText>
            </w:r>
            <w:r>
              <w:rPr>
                <w:noProof/>
                <w:webHidden/>
              </w:rPr>
            </w:r>
            <w:r>
              <w:rPr>
                <w:noProof/>
                <w:webHidden/>
              </w:rPr>
              <w:fldChar w:fldCharType="separate"/>
            </w:r>
            <w:r>
              <w:rPr>
                <w:noProof/>
                <w:webHidden/>
              </w:rPr>
              <w:t>2</w:t>
            </w:r>
            <w:r>
              <w:rPr>
                <w:noProof/>
                <w:webHidden/>
              </w:rPr>
              <w:fldChar w:fldCharType="end"/>
            </w:r>
          </w:hyperlink>
        </w:p>
        <w:p w14:paraId="4BA8F237" w14:textId="2C3A3514" w:rsidR="00F63EF2" w:rsidRDefault="00F63EF2">
          <w:pPr>
            <w:pStyle w:val="TOC2"/>
            <w:tabs>
              <w:tab w:val="right" w:leader="dot" w:pos="9926"/>
            </w:tabs>
            <w:rPr>
              <w:rFonts w:eastAsiaTheme="minorEastAsia"/>
              <w:b w:val="0"/>
              <w:bCs w:val="0"/>
              <w:noProof/>
              <w:sz w:val="24"/>
              <w:szCs w:val="24"/>
            </w:rPr>
          </w:pPr>
          <w:hyperlink w:anchor="_Toc229320677" w:history="1">
            <w:r w:rsidRPr="0079039A">
              <w:rPr>
                <w:rStyle w:val="Hyperlink"/>
                <w:noProof/>
              </w:rPr>
              <w:t>Node 3: Adjudication within the Clearinghouse</w:t>
            </w:r>
            <w:r>
              <w:rPr>
                <w:noProof/>
                <w:webHidden/>
              </w:rPr>
              <w:tab/>
            </w:r>
            <w:r>
              <w:rPr>
                <w:noProof/>
                <w:webHidden/>
              </w:rPr>
              <w:fldChar w:fldCharType="begin"/>
            </w:r>
            <w:r>
              <w:rPr>
                <w:noProof/>
                <w:webHidden/>
              </w:rPr>
              <w:instrText xml:space="preserve"> PAGEREF _Toc229320677 \h </w:instrText>
            </w:r>
            <w:r>
              <w:rPr>
                <w:noProof/>
                <w:webHidden/>
              </w:rPr>
            </w:r>
            <w:r>
              <w:rPr>
                <w:noProof/>
                <w:webHidden/>
              </w:rPr>
              <w:fldChar w:fldCharType="separate"/>
            </w:r>
            <w:r>
              <w:rPr>
                <w:noProof/>
                <w:webHidden/>
              </w:rPr>
              <w:t>3</w:t>
            </w:r>
            <w:r>
              <w:rPr>
                <w:noProof/>
                <w:webHidden/>
              </w:rPr>
              <w:fldChar w:fldCharType="end"/>
            </w:r>
          </w:hyperlink>
        </w:p>
        <w:p w14:paraId="2B610DBC" w14:textId="045C77D6" w:rsidR="00F63EF2" w:rsidRDefault="00F63EF2">
          <w:pPr>
            <w:pStyle w:val="TOC1"/>
            <w:tabs>
              <w:tab w:val="right" w:leader="dot" w:pos="9926"/>
            </w:tabs>
            <w:rPr>
              <w:rFonts w:eastAsiaTheme="minorEastAsia"/>
              <w:b w:val="0"/>
              <w:bCs w:val="0"/>
              <w:i w:val="0"/>
              <w:iCs w:val="0"/>
              <w:noProof/>
            </w:rPr>
          </w:pPr>
          <w:hyperlink w:anchor="_Toc229320678" w:history="1">
            <w:r w:rsidRPr="0079039A">
              <w:rPr>
                <w:rStyle w:val="Hyperlink"/>
                <w:noProof/>
              </w:rPr>
              <w:t>The Architecture of Irreversibility</w:t>
            </w:r>
            <w:r>
              <w:rPr>
                <w:noProof/>
                <w:webHidden/>
              </w:rPr>
              <w:tab/>
            </w:r>
            <w:r>
              <w:rPr>
                <w:noProof/>
                <w:webHidden/>
              </w:rPr>
              <w:fldChar w:fldCharType="begin"/>
            </w:r>
            <w:r>
              <w:rPr>
                <w:noProof/>
                <w:webHidden/>
              </w:rPr>
              <w:instrText xml:space="preserve"> PAGEREF _Toc229320678 \h </w:instrText>
            </w:r>
            <w:r>
              <w:rPr>
                <w:noProof/>
                <w:webHidden/>
              </w:rPr>
            </w:r>
            <w:r>
              <w:rPr>
                <w:noProof/>
                <w:webHidden/>
              </w:rPr>
              <w:fldChar w:fldCharType="separate"/>
            </w:r>
            <w:r>
              <w:rPr>
                <w:noProof/>
                <w:webHidden/>
              </w:rPr>
              <w:t>3</w:t>
            </w:r>
            <w:r>
              <w:rPr>
                <w:noProof/>
                <w:webHidden/>
              </w:rPr>
              <w:fldChar w:fldCharType="end"/>
            </w:r>
          </w:hyperlink>
        </w:p>
        <w:p w14:paraId="4558B266" w14:textId="163116DE" w:rsidR="00F63EF2" w:rsidRDefault="00F63EF2">
          <w:pPr>
            <w:pStyle w:val="TOC1"/>
            <w:tabs>
              <w:tab w:val="right" w:leader="dot" w:pos="9926"/>
            </w:tabs>
            <w:rPr>
              <w:rFonts w:eastAsiaTheme="minorEastAsia"/>
              <w:b w:val="0"/>
              <w:bCs w:val="0"/>
              <w:i w:val="0"/>
              <w:iCs w:val="0"/>
              <w:noProof/>
            </w:rPr>
          </w:pPr>
          <w:hyperlink w:anchor="_Toc229320679" w:history="1">
            <w:r w:rsidRPr="0079039A">
              <w:rPr>
                <w:rStyle w:val="Hyperlink"/>
                <w:noProof/>
              </w:rPr>
              <w:t>Functional Requirement Definitions</w:t>
            </w:r>
            <w:r>
              <w:rPr>
                <w:noProof/>
                <w:webHidden/>
              </w:rPr>
              <w:tab/>
            </w:r>
            <w:r>
              <w:rPr>
                <w:noProof/>
                <w:webHidden/>
              </w:rPr>
              <w:fldChar w:fldCharType="begin"/>
            </w:r>
            <w:r>
              <w:rPr>
                <w:noProof/>
                <w:webHidden/>
              </w:rPr>
              <w:instrText xml:space="preserve"> PAGEREF _Toc229320679 \h </w:instrText>
            </w:r>
            <w:r>
              <w:rPr>
                <w:noProof/>
                <w:webHidden/>
              </w:rPr>
            </w:r>
            <w:r>
              <w:rPr>
                <w:noProof/>
                <w:webHidden/>
              </w:rPr>
              <w:fldChar w:fldCharType="separate"/>
            </w:r>
            <w:r>
              <w:rPr>
                <w:noProof/>
                <w:webHidden/>
              </w:rPr>
              <w:t>4</w:t>
            </w:r>
            <w:r>
              <w:rPr>
                <w:noProof/>
                <w:webHidden/>
              </w:rPr>
              <w:fldChar w:fldCharType="end"/>
            </w:r>
          </w:hyperlink>
        </w:p>
        <w:p w14:paraId="76C0C95E" w14:textId="62EF6930" w:rsidR="00F63EF2" w:rsidRDefault="00F63EF2">
          <w:pPr>
            <w:pStyle w:val="TOC1"/>
            <w:tabs>
              <w:tab w:val="right" w:leader="dot" w:pos="9926"/>
            </w:tabs>
            <w:rPr>
              <w:rFonts w:eastAsiaTheme="minorEastAsia"/>
              <w:b w:val="0"/>
              <w:bCs w:val="0"/>
              <w:i w:val="0"/>
              <w:iCs w:val="0"/>
              <w:noProof/>
            </w:rPr>
          </w:pPr>
          <w:hyperlink w:anchor="_Toc229320680" w:history="1">
            <w:r w:rsidRPr="0079039A">
              <w:rPr>
                <w:rStyle w:val="Hyperlink"/>
                <w:noProof/>
              </w:rPr>
              <w:t>Home Performance Manager, HPM</w:t>
            </w:r>
            <w:r>
              <w:rPr>
                <w:noProof/>
                <w:webHidden/>
              </w:rPr>
              <w:tab/>
            </w:r>
            <w:r>
              <w:rPr>
                <w:noProof/>
                <w:webHidden/>
              </w:rPr>
              <w:fldChar w:fldCharType="begin"/>
            </w:r>
            <w:r>
              <w:rPr>
                <w:noProof/>
                <w:webHidden/>
              </w:rPr>
              <w:instrText xml:space="preserve"> PAGEREF _Toc229320680 \h </w:instrText>
            </w:r>
            <w:r>
              <w:rPr>
                <w:noProof/>
                <w:webHidden/>
              </w:rPr>
            </w:r>
            <w:r>
              <w:rPr>
                <w:noProof/>
                <w:webHidden/>
              </w:rPr>
              <w:fldChar w:fldCharType="separate"/>
            </w:r>
            <w:r>
              <w:rPr>
                <w:noProof/>
                <w:webHidden/>
              </w:rPr>
              <w:t>4</w:t>
            </w:r>
            <w:r>
              <w:rPr>
                <w:noProof/>
                <w:webHidden/>
              </w:rPr>
              <w:fldChar w:fldCharType="end"/>
            </w:r>
          </w:hyperlink>
        </w:p>
        <w:p w14:paraId="5CFA24F1" w14:textId="35F4E69D" w:rsidR="00F63EF2" w:rsidRDefault="00F63EF2">
          <w:pPr>
            <w:pStyle w:val="TOC2"/>
            <w:tabs>
              <w:tab w:val="right" w:leader="dot" w:pos="9926"/>
            </w:tabs>
            <w:rPr>
              <w:rFonts w:eastAsiaTheme="minorEastAsia"/>
              <w:b w:val="0"/>
              <w:bCs w:val="0"/>
              <w:noProof/>
              <w:sz w:val="24"/>
              <w:szCs w:val="24"/>
            </w:rPr>
          </w:pPr>
          <w:hyperlink w:anchor="_Toc229320681" w:history="1">
            <w:r w:rsidRPr="0079039A">
              <w:rPr>
                <w:rStyle w:val="Hyperlink"/>
                <w:noProof/>
              </w:rPr>
              <w:t>1. The Strategic Foundation (The "Why")</w:t>
            </w:r>
            <w:r>
              <w:rPr>
                <w:noProof/>
                <w:webHidden/>
              </w:rPr>
              <w:tab/>
            </w:r>
            <w:r>
              <w:rPr>
                <w:noProof/>
                <w:webHidden/>
              </w:rPr>
              <w:fldChar w:fldCharType="begin"/>
            </w:r>
            <w:r>
              <w:rPr>
                <w:noProof/>
                <w:webHidden/>
              </w:rPr>
              <w:instrText xml:space="preserve"> PAGEREF _Toc229320681 \h </w:instrText>
            </w:r>
            <w:r>
              <w:rPr>
                <w:noProof/>
                <w:webHidden/>
              </w:rPr>
            </w:r>
            <w:r>
              <w:rPr>
                <w:noProof/>
                <w:webHidden/>
              </w:rPr>
              <w:fldChar w:fldCharType="separate"/>
            </w:r>
            <w:r>
              <w:rPr>
                <w:noProof/>
                <w:webHidden/>
              </w:rPr>
              <w:t>4</w:t>
            </w:r>
            <w:r>
              <w:rPr>
                <w:noProof/>
                <w:webHidden/>
              </w:rPr>
              <w:fldChar w:fldCharType="end"/>
            </w:r>
          </w:hyperlink>
        </w:p>
        <w:p w14:paraId="03680CE4" w14:textId="2179E789" w:rsidR="00F63EF2" w:rsidRDefault="00F63EF2">
          <w:pPr>
            <w:pStyle w:val="TOC3"/>
            <w:tabs>
              <w:tab w:val="right" w:leader="dot" w:pos="9926"/>
            </w:tabs>
            <w:rPr>
              <w:rFonts w:eastAsiaTheme="minorEastAsia"/>
              <w:noProof/>
              <w:sz w:val="24"/>
              <w:szCs w:val="24"/>
            </w:rPr>
          </w:pPr>
          <w:hyperlink w:anchor="_Toc229320682" w:history="1">
            <w:r w:rsidRPr="0079039A">
              <w:rPr>
                <w:rStyle w:val="Hyperlink"/>
                <w:b/>
                <w:bCs/>
                <w:noProof/>
              </w:rPr>
              <w:t>1.1  Existential Intellectual Property: The "Exclusive Source Data License"</w:t>
            </w:r>
            <w:r>
              <w:rPr>
                <w:noProof/>
                <w:webHidden/>
              </w:rPr>
              <w:tab/>
            </w:r>
            <w:r>
              <w:rPr>
                <w:noProof/>
                <w:webHidden/>
              </w:rPr>
              <w:fldChar w:fldCharType="begin"/>
            </w:r>
            <w:r>
              <w:rPr>
                <w:noProof/>
                <w:webHidden/>
              </w:rPr>
              <w:instrText xml:space="preserve"> PAGEREF _Toc229320682 \h </w:instrText>
            </w:r>
            <w:r>
              <w:rPr>
                <w:noProof/>
                <w:webHidden/>
              </w:rPr>
            </w:r>
            <w:r>
              <w:rPr>
                <w:noProof/>
                <w:webHidden/>
              </w:rPr>
              <w:fldChar w:fldCharType="separate"/>
            </w:r>
            <w:r>
              <w:rPr>
                <w:noProof/>
                <w:webHidden/>
              </w:rPr>
              <w:t>4</w:t>
            </w:r>
            <w:r>
              <w:rPr>
                <w:noProof/>
                <w:webHidden/>
              </w:rPr>
              <w:fldChar w:fldCharType="end"/>
            </w:r>
          </w:hyperlink>
        </w:p>
        <w:p w14:paraId="49C34A6A" w14:textId="0648CF45" w:rsidR="00F63EF2" w:rsidRDefault="00F63EF2">
          <w:pPr>
            <w:pStyle w:val="TOC3"/>
            <w:tabs>
              <w:tab w:val="right" w:leader="dot" w:pos="9926"/>
            </w:tabs>
            <w:rPr>
              <w:rFonts w:eastAsiaTheme="minorEastAsia"/>
              <w:noProof/>
              <w:sz w:val="24"/>
              <w:szCs w:val="24"/>
            </w:rPr>
          </w:pPr>
          <w:hyperlink w:anchor="_Toc229320683" w:history="1">
            <w:r w:rsidRPr="0079039A">
              <w:rPr>
                <w:rStyle w:val="Hyperlink"/>
                <w:b/>
                <w:bCs/>
                <w:noProof/>
              </w:rPr>
              <w:t>1.2  Active Liability Protection: The Immutable Defense</w:t>
            </w:r>
            <w:r>
              <w:rPr>
                <w:noProof/>
                <w:webHidden/>
              </w:rPr>
              <w:tab/>
            </w:r>
            <w:r>
              <w:rPr>
                <w:noProof/>
                <w:webHidden/>
              </w:rPr>
              <w:fldChar w:fldCharType="begin"/>
            </w:r>
            <w:r>
              <w:rPr>
                <w:noProof/>
                <w:webHidden/>
              </w:rPr>
              <w:instrText xml:space="preserve"> PAGEREF _Toc229320683 \h </w:instrText>
            </w:r>
            <w:r>
              <w:rPr>
                <w:noProof/>
                <w:webHidden/>
              </w:rPr>
            </w:r>
            <w:r>
              <w:rPr>
                <w:noProof/>
                <w:webHidden/>
              </w:rPr>
              <w:fldChar w:fldCharType="separate"/>
            </w:r>
            <w:r>
              <w:rPr>
                <w:noProof/>
                <w:webHidden/>
              </w:rPr>
              <w:t>5</w:t>
            </w:r>
            <w:r>
              <w:rPr>
                <w:noProof/>
                <w:webHidden/>
              </w:rPr>
              <w:fldChar w:fldCharType="end"/>
            </w:r>
          </w:hyperlink>
        </w:p>
        <w:p w14:paraId="640A9833" w14:textId="7E7B54DB" w:rsidR="00F63EF2" w:rsidRDefault="00F63EF2">
          <w:pPr>
            <w:pStyle w:val="TOC3"/>
            <w:tabs>
              <w:tab w:val="right" w:leader="dot" w:pos="9926"/>
            </w:tabs>
            <w:rPr>
              <w:rFonts w:eastAsiaTheme="minorEastAsia"/>
              <w:noProof/>
              <w:sz w:val="24"/>
              <w:szCs w:val="24"/>
            </w:rPr>
          </w:pPr>
          <w:hyperlink w:anchor="_Toc229320684" w:history="1">
            <w:r w:rsidRPr="0079039A">
              <w:rPr>
                <w:rStyle w:val="Hyperlink"/>
                <w:b/>
                <w:bCs/>
                <w:noProof/>
              </w:rPr>
              <w:t>1.3  Subcontractor Accountability: Neutral Third-Party Verification</w:t>
            </w:r>
            <w:r>
              <w:rPr>
                <w:noProof/>
                <w:webHidden/>
              </w:rPr>
              <w:tab/>
            </w:r>
            <w:r>
              <w:rPr>
                <w:noProof/>
                <w:webHidden/>
              </w:rPr>
              <w:fldChar w:fldCharType="begin"/>
            </w:r>
            <w:r>
              <w:rPr>
                <w:noProof/>
                <w:webHidden/>
              </w:rPr>
              <w:instrText xml:space="preserve"> PAGEREF _Toc229320684 \h </w:instrText>
            </w:r>
            <w:r>
              <w:rPr>
                <w:noProof/>
                <w:webHidden/>
              </w:rPr>
            </w:r>
            <w:r>
              <w:rPr>
                <w:noProof/>
                <w:webHidden/>
              </w:rPr>
              <w:fldChar w:fldCharType="separate"/>
            </w:r>
            <w:r>
              <w:rPr>
                <w:noProof/>
                <w:webHidden/>
              </w:rPr>
              <w:t>5</w:t>
            </w:r>
            <w:r>
              <w:rPr>
                <w:noProof/>
                <w:webHidden/>
              </w:rPr>
              <w:fldChar w:fldCharType="end"/>
            </w:r>
          </w:hyperlink>
        </w:p>
        <w:p w14:paraId="057DD89D" w14:textId="4E0A3E78" w:rsidR="00F63EF2" w:rsidRDefault="00F63EF2">
          <w:pPr>
            <w:pStyle w:val="TOC2"/>
            <w:tabs>
              <w:tab w:val="right" w:leader="dot" w:pos="9926"/>
            </w:tabs>
            <w:rPr>
              <w:rFonts w:eastAsiaTheme="minorEastAsia"/>
              <w:b w:val="0"/>
              <w:bCs w:val="0"/>
              <w:noProof/>
              <w:sz w:val="24"/>
              <w:szCs w:val="24"/>
            </w:rPr>
          </w:pPr>
          <w:hyperlink w:anchor="_Toc229320685" w:history="1">
            <w:r w:rsidRPr="0079039A">
              <w:rPr>
                <w:rStyle w:val="Hyperlink"/>
                <w:noProof/>
              </w:rPr>
              <w:t>2  Phase 0: Pre-Installation (Off-Site "Birth")</w:t>
            </w:r>
            <w:r>
              <w:rPr>
                <w:noProof/>
                <w:webHidden/>
              </w:rPr>
              <w:tab/>
            </w:r>
            <w:r>
              <w:rPr>
                <w:noProof/>
                <w:webHidden/>
              </w:rPr>
              <w:fldChar w:fldCharType="begin"/>
            </w:r>
            <w:r>
              <w:rPr>
                <w:noProof/>
                <w:webHidden/>
              </w:rPr>
              <w:instrText xml:space="preserve"> PAGEREF _Toc229320685 \h </w:instrText>
            </w:r>
            <w:r>
              <w:rPr>
                <w:noProof/>
                <w:webHidden/>
              </w:rPr>
            </w:r>
            <w:r>
              <w:rPr>
                <w:noProof/>
                <w:webHidden/>
              </w:rPr>
              <w:fldChar w:fldCharType="separate"/>
            </w:r>
            <w:r>
              <w:rPr>
                <w:noProof/>
                <w:webHidden/>
              </w:rPr>
              <w:t>6</w:t>
            </w:r>
            <w:r>
              <w:rPr>
                <w:noProof/>
                <w:webHidden/>
              </w:rPr>
              <w:fldChar w:fldCharType="end"/>
            </w:r>
          </w:hyperlink>
        </w:p>
        <w:p w14:paraId="47EBAAB8" w14:textId="1FE7ECB3" w:rsidR="00F63EF2" w:rsidRDefault="00F63EF2">
          <w:pPr>
            <w:pStyle w:val="TOC3"/>
            <w:tabs>
              <w:tab w:val="right" w:leader="dot" w:pos="9926"/>
            </w:tabs>
            <w:rPr>
              <w:rFonts w:eastAsiaTheme="minorEastAsia"/>
              <w:noProof/>
              <w:sz w:val="24"/>
              <w:szCs w:val="24"/>
            </w:rPr>
          </w:pPr>
          <w:hyperlink w:anchor="_Toc229320686" w:history="1">
            <w:r w:rsidRPr="0079039A">
              <w:rPr>
                <w:rStyle w:val="Hyperlink"/>
                <w:b/>
                <w:bCs/>
                <w:noProof/>
              </w:rPr>
              <w:t>2.1 The Virtual Training Camp: Cloud-Based Initialization</w:t>
            </w:r>
            <w:r>
              <w:rPr>
                <w:noProof/>
                <w:webHidden/>
              </w:rPr>
              <w:tab/>
            </w:r>
            <w:r>
              <w:rPr>
                <w:noProof/>
                <w:webHidden/>
              </w:rPr>
              <w:fldChar w:fldCharType="begin"/>
            </w:r>
            <w:r>
              <w:rPr>
                <w:noProof/>
                <w:webHidden/>
              </w:rPr>
              <w:instrText xml:space="preserve"> PAGEREF _Toc229320686 \h </w:instrText>
            </w:r>
            <w:r>
              <w:rPr>
                <w:noProof/>
                <w:webHidden/>
              </w:rPr>
            </w:r>
            <w:r>
              <w:rPr>
                <w:noProof/>
                <w:webHidden/>
              </w:rPr>
              <w:fldChar w:fldCharType="separate"/>
            </w:r>
            <w:r>
              <w:rPr>
                <w:noProof/>
                <w:webHidden/>
              </w:rPr>
              <w:t>6</w:t>
            </w:r>
            <w:r>
              <w:rPr>
                <w:noProof/>
                <w:webHidden/>
              </w:rPr>
              <w:fldChar w:fldCharType="end"/>
            </w:r>
          </w:hyperlink>
        </w:p>
        <w:p w14:paraId="37012AB6" w14:textId="30F91D6F" w:rsidR="00F63EF2" w:rsidRDefault="00F63EF2">
          <w:pPr>
            <w:pStyle w:val="TOC3"/>
            <w:tabs>
              <w:tab w:val="right" w:leader="dot" w:pos="9926"/>
            </w:tabs>
            <w:rPr>
              <w:rFonts w:eastAsiaTheme="minorEastAsia"/>
              <w:noProof/>
              <w:sz w:val="24"/>
              <w:szCs w:val="24"/>
            </w:rPr>
          </w:pPr>
          <w:hyperlink w:anchor="_Toc229320687" w:history="1">
            <w:r w:rsidRPr="0079039A">
              <w:rPr>
                <w:rStyle w:val="Hyperlink"/>
                <w:b/>
                <w:bCs/>
                <w:noProof/>
              </w:rPr>
              <w:t>2.2  Baseline Ingestion: The ACCA Manual Derived "Digital DNA"</w:t>
            </w:r>
            <w:r>
              <w:rPr>
                <w:noProof/>
                <w:webHidden/>
              </w:rPr>
              <w:tab/>
            </w:r>
            <w:r>
              <w:rPr>
                <w:noProof/>
                <w:webHidden/>
              </w:rPr>
              <w:fldChar w:fldCharType="begin"/>
            </w:r>
            <w:r>
              <w:rPr>
                <w:noProof/>
                <w:webHidden/>
              </w:rPr>
              <w:instrText xml:space="preserve"> PAGEREF _Toc229320687 \h </w:instrText>
            </w:r>
            <w:r>
              <w:rPr>
                <w:noProof/>
                <w:webHidden/>
              </w:rPr>
            </w:r>
            <w:r>
              <w:rPr>
                <w:noProof/>
                <w:webHidden/>
              </w:rPr>
              <w:fldChar w:fldCharType="separate"/>
            </w:r>
            <w:r>
              <w:rPr>
                <w:noProof/>
                <w:webHidden/>
              </w:rPr>
              <w:t>6</w:t>
            </w:r>
            <w:r>
              <w:rPr>
                <w:noProof/>
                <w:webHidden/>
              </w:rPr>
              <w:fldChar w:fldCharType="end"/>
            </w:r>
          </w:hyperlink>
        </w:p>
        <w:p w14:paraId="42D0681A" w14:textId="52CDD4FC" w:rsidR="00F63EF2" w:rsidRDefault="00F63EF2">
          <w:pPr>
            <w:pStyle w:val="TOC2"/>
            <w:tabs>
              <w:tab w:val="right" w:leader="dot" w:pos="9926"/>
            </w:tabs>
            <w:rPr>
              <w:rFonts w:eastAsiaTheme="minorEastAsia"/>
              <w:b w:val="0"/>
              <w:bCs w:val="0"/>
              <w:noProof/>
              <w:sz w:val="24"/>
              <w:szCs w:val="24"/>
            </w:rPr>
          </w:pPr>
          <w:hyperlink w:anchor="_Toc229320688" w:history="1">
            <w:r w:rsidRPr="0079039A">
              <w:rPr>
                <w:rStyle w:val="Hyperlink"/>
                <w:noProof/>
              </w:rPr>
              <w:t>3. Phase 1 — Independent Two-Track Commissioning (5-Day Pre-Occupancy Window)</w:t>
            </w:r>
            <w:r>
              <w:rPr>
                <w:noProof/>
                <w:webHidden/>
              </w:rPr>
              <w:tab/>
            </w:r>
            <w:r>
              <w:rPr>
                <w:noProof/>
                <w:webHidden/>
              </w:rPr>
              <w:fldChar w:fldCharType="begin"/>
            </w:r>
            <w:r>
              <w:rPr>
                <w:noProof/>
                <w:webHidden/>
              </w:rPr>
              <w:instrText xml:space="preserve"> PAGEREF _Toc229320688 \h </w:instrText>
            </w:r>
            <w:r>
              <w:rPr>
                <w:noProof/>
                <w:webHidden/>
              </w:rPr>
            </w:r>
            <w:r>
              <w:rPr>
                <w:noProof/>
                <w:webHidden/>
              </w:rPr>
              <w:fldChar w:fldCharType="separate"/>
            </w:r>
            <w:r>
              <w:rPr>
                <w:noProof/>
                <w:webHidden/>
              </w:rPr>
              <w:t>7</w:t>
            </w:r>
            <w:r>
              <w:rPr>
                <w:noProof/>
                <w:webHidden/>
              </w:rPr>
              <w:fldChar w:fldCharType="end"/>
            </w:r>
          </w:hyperlink>
        </w:p>
        <w:p w14:paraId="50367B12" w14:textId="27648830" w:rsidR="00F63EF2" w:rsidRDefault="00F63EF2">
          <w:pPr>
            <w:pStyle w:val="TOC3"/>
            <w:tabs>
              <w:tab w:val="right" w:leader="dot" w:pos="9926"/>
            </w:tabs>
            <w:rPr>
              <w:rFonts w:eastAsiaTheme="minorEastAsia"/>
              <w:noProof/>
              <w:sz w:val="24"/>
              <w:szCs w:val="24"/>
            </w:rPr>
          </w:pPr>
          <w:hyperlink w:anchor="_Toc229320689" w:history="1">
            <w:r w:rsidRPr="0079039A">
              <w:rPr>
                <w:rStyle w:val="Hyperlink"/>
                <w:b/>
                <w:bCs/>
                <w:noProof/>
              </w:rPr>
              <w:t>3.1 Hardware Prerequisites: Instrumenting the Pathways</w:t>
            </w:r>
            <w:r>
              <w:rPr>
                <w:noProof/>
                <w:webHidden/>
              </w:rPr>
              <w:tab/>
            </w:r>
            <w:r>
              <w:rPr>
                <w:noProof/>
                <w:webHidden/>
              </w:rPr>
              <w:fldChar w:fldCharType="begin"/>
            </w:r>
            <w:r>
              <w:rPr>
                <w:noProof/>
                <w:webHidden/>
              </w:rPr>
              <w:instrText xml:space="preserve"> PAGEREF _Toc229320689 \h </w:instrText>
            </w:r>
            <w:r>
              <w:rPr>
                <w:noProof/>
                <w:webHidden/>
              </w:rPr>
            </w:r>
            <w:r>
              <w:rPr>
                <w:noProof/>
                <w:webHidden/>
              </w:rPr>
              <w:fldChar w:fldCharType="separate"/>
            </w:r>
            <w:r>
              <w:rPr>
                <w:noProof/>
                <w:webHidden/>
              </w:rPr>
              <w:t>8</w:t>
            </w:r>
            <w:r>
              <w:rPr>
                <w:noProof/>
                <w:webHidden/>
              </w:rPr>
              <w:fldChar w:fldCharType="end"/>
            </w:r>
          </w:hyperlink>
        </w:p>
        <w:p w14:paraId="551C4245" w14:textId="05A3A725" w:rsidR="00F63EF2" w:rsidRDefault="00F63EF2">
          <w:pPr>
            <w:pStyle w:val="TOC3"/>
            <w:tabs>
              <w:tab w:val="right" w:leader="dot" w:pos="9926"/>
            </w:tabs>
            <w:rPr>
              <w:rFonts w:eastAsiaTheme="minorEastAsia"/>
              <w:noProof/>
              <w:sz w:val="24"/>
              <w:szCs w:val="24"/>
            </w:rPr>
          </w:pPr>
          <w:hyperlink w:anchor="_Toc229320690" w:history="1">
            <w:r w:rsidRPr="0079039A">
              <w:rPr>
                <w:rStyle w:val="Hyperlink"/>
                <w:b/>
                <w:bCs/>
                <w:noProof/>
              </w:rPr>
              <w:t>3.2 Days 1–2: Passive Envelope Observation Under Fan-Mixed Conditions</w:t>
            </w:r>
            <w:r>
              <w:rPr>
                <w:noProof/>
                <w:webHidden/>
              </w:rPr>
              <w:tab/>
            </w:r>
            <w:r>
              <w:rPr>
                <w:noProof/>
                <w:webHidden/>
              </w:rPr>
              <w:fldChar w:fldCharType="begin"/>
            </w:r>
            <w:r>
              <w:rPr>
                <w:noProof/>
                <w:webHidden/>
              </w:rPr>
              <w:instrText xml:space="preserve"> PAGEREF _Toc229320690 \h </w:instrText>
            </w:r>
            <w:r>
              <w:rPr>
                <w:noProof/>
                <w:webHidden/>
              </w:rPr>
            </w:r>
            <w:r>
              <w:rPr>
                <w:noProof/>
                <w:webHidden/>
              </w:rPr>
              <w:fldChar w:fldCharType="separate"/>
            </w:r>
            <w:r>
              <w:rPr>
                <w:noProof/>
                <w:webHidden/>
              </w:rPr>
              <w:t>8</w:t>
            </w:r>
            <w:r>
              <w:rPr>
                <w:noProof/>
                <w:webHidden/>
              </w:rPr>
              <w:fldChar w:fldCharType="end"/>
            </w:r>
          </w:hyperlink>
        </w:p>
        <w:p w14:paraId="38273E03" w14:textId="01519114" w:rsidR="00F63EF2" w:rsidRDefault="00F63EF2">
          <w:pPr>
            <w:pStyle w:val="TOC3"/>
            <w:tabs>
              <w:tab w:val="right" w:leader="dot" w:pos="9926"/>
            </w:tabs>
            <w:rPr>
              <w:rFonts w:eastAsiaTheme="minorEastAsia"/>
              <w:noProof/>
              <w:sz w:val="24"/>
              <w:szCs w:val="24"/>
            </w:rPr>
          </w:pPr>
          <w:hyperlink w:anchor="_Toc229320691" w:history="1">
            <w:r w:rsidRPr="0079039A">
              <w:rPr>
                <w:rStyle w:val="Hyperlink"/>
                <w:b/>
                <w:bCs/>
                <w:noProof/>
              </w:rPr>
              <w:t>3.3 Day 3: HVAC System Calibration — Operating-Point Map Construction</w:t>
            </w:r>
            <w:r>
              <w:rPr>
                <w:noProof/>
                <w:webHidden/>
              </w:rPr>
              <w:tab/>
            </w:r>
            <w:r>
              <w:rPr>
                <w:noProof/>
                <w:webHidden/>
              </w:rPr>
              <w:fldChar w:fldCharType="begin"/>
            </w:r>
            <w:r>
              <w:rPr>
                <w:noProof/>
                <w:webHidden/>
              </w:rPr>
              <w:instrText xml:space="preserve"> PAGEREF _Toc229320691 \h </w:instrText>
            </w:r>
            <w:r>
              <w:rPr>
                <w:noProof/>
                <w:webHidden/>
              </w:rPr>
            </w:r>
            <w:r>
              <w:rPr>
                <w:noProof/>
                <w:webHidden/>
              </w:rPr>
              <w:fldChar w:fldCharType="separate"/>
            </w:r>
            <w:r>
              <w:rPr>
                <w:noProof/>
                <w:webHidden/>
              </w:rPr>
              <w:t>9</w:t>
            </w:r>
            <w:r>
              <w:rPr>
                <w:noProof/>
                <w:webHidden/>
              </w:rPr>
              <w:fldChar w:fldCharType="end"/>
            </w:r>
          </w:hyperlink>
        </w:p>
        <w:p w14:paraId="5482D6F9" w14:textId="33F3929D" w:rsidR="00F63EF2" w:rsidRDefault="00F63EF2">
          <w:pPr>
            <w:pStyle w:val="TOC3"/>
            <w:tabs>
              <w:tab w:val="right" w:leader="dot" w:pos="9926"/>
            </w:tabs>
            <w:rPr>
              <w:rFonts w:eastAsiaTheme="minorEastAsia"/>
              <w:noProof/>
              <w:sz w:val="24"/>
              <w:szCs w:val="24"/>
            </w:rPr>
          </w:pPr>
          <w:hyperlink w:anchor="_Toc229320692" w:history="1">
            <w:r w:rsidRPr="0079039A">
              <w:rPr>
                <w:rStyle w:val="Hyperlink"/>
                <w:b/>
                <w:bCs/>
                <w:noProof/>
              </w:rPr>
              <w:t>3.4 Days 4–5: Active Envelope Characterization Using the Calibrated HVAC</w:t>
            </w:r>
            <w:r>
              <w:rPr>
                <w:noProof/>
                <w:webHidden/>
              </w:rPr>
              <w:tab/>
            </w:r>
            <w:r>
              <w:rPr>
                <w:noProof/>
                <w:webHidden/>
              </w:rPr>
              <w:fldChar w:fldCharType="begin"/>
            </w:r>
            <w:r>
              <w:rPr>
                <w:noProof/>
                <w:webHidden/>
              </w:rPr>
              <w:instrText xml:space="preserve"> PAGEREF _Toc229320692 \h </w:instrText>
            </w:r>
            <w:r>
              <w:rPr>
                <w:noProof/>
                <w:webHidden/>
              </w:rPr>
            </w:r>
            <w:r>
              <w:rPr>
                <w:noProof/>
                <w:webHidden/>
              </w:rPr>
              <w:fldChar w:fldCharType="separate"/>
            </w:r>
            <w:r>
              <w:rPr>
                <w:noProof/>
                <w:webHidden/>
              </w:rPr>
              <w:t>11</w:t>
            </w:r>
            <w:r>
              <w:rPr>
                <w:noProof/>
                <w:webHidden/>
              </w:rPr>
              <w:fldChar w:fldCharType="end"/>
            </w:r>
          </w:hyperlink>
        </w:p>
        <w:p w14:paraId="3A7DFF26" w14:textId="650DDEC1" w:rsidR="00F63EF2" w:rsidRDefault="00F63EF2">
          <w:pPr>
            <w:pStyle w:val="TOC2"/>
            <w:tabs>
              <w:tab w:val="right" w:leader="dot" w:pos="9926"/>
            </w:tabs>
            <w:rPr>
              <w:rFonts w:eastAsiaTheme="minorEastAsia"/>
              <w:b w:val="0"/>
              <w:bCs w:val="0"/>
              <w:noProof/>
              <w:sz w:val="24"/>
              <w:szCs w:val="24"/>
            </w:rPr>
          </w:pPr>
          <w:hyperlink w:anchor="_Toc229320693" w:history="1">
            <w:r w:rsidRPr="0079039A">
              <w:rPr>
                <w:rStyle w:val="Hyperlink"/>
                <w:noProof/>
              </w:rPr>
              <w:t>4. Phase 2 — Continuous Envelope Drift Monitoring (Post-Occupancy)</w:t>
            </w:r>
            <w:r>
              <w:rPr>
                <w:noProof/>
                <w:webHidden/>
              </w:rPr>
              <w:tab/>
            </w:r>
            <w:r>
              <w:rPr>
                <w:noProof/>
                <w:webHidden/>
              </w:rPr>
              <w:fldChar w:fldCharType="begin"/>
            </w:r>
            <w:r>
              <w:rPr>
                <w:noProof/>
                <w:webHidden/>
              </w:rPr>
              <w:instrText xml:space="preserve"> PAGEREF _Toc229320693 \h </w:instrText>
            </w:r>
            <w:r>
              <w:rPr>
                <w:noProof/>
                <w:webHidden/>
              </w:rPr>
            </w:r>
            <w:r>
              <w:rPr>
                <w:noProof/>
                <w:webHidden/>
              </w:rPr>
              <w:fldChar w:fldCharType="separate"/>
            </w:r>
            <w:r>
              <w:rPr>
                <w:noProof/>
                <w:webHidden/>
              </w:rPr>
              <w:t>12</w:t>
            </w:r>
            <w:r>
              <w:rPr>
                <w:noProof/>
                <w:webHidden/>
              </w:rPr>
              <w:fldChar w:fldCharType="end"/>
            </w:r>
          </w:hyperlink>
        </w:p>
        <w:p w14:paraId="0EB235D7" w14:textId="6427489E" w:rsidR="00F63EF2" w:rsidRDefault="00F63EF2">
          <w:pPr>
            <w:pStyle w:val="TOC3"/>
            <w:tabs>
              <w:tab w:val="right" w:leader="dot" w:pos="9926"/>
            </w:tabs>
            <w:rPr>
              <w:rFonts w:eastAsiaTheme="minorEastAsia"/>
              <w:noProof/>
              <w:sz w:val="24"/>
              <w:szCs w:val="24"/>
            </w:rPr>
          </w:pPr>
          <w:hyperlink w:anchor="_Toc229320694" w:history="1">
            <w:r w:rsidRPr="0079039A">
              <w:rPr>
                <w:rStyle w:val="Hyperlink"/>
                <w:b/>
                <w:bCs/>
                <w:noProof/>
              </w:rPr>
              <w:t>4.1 Drift Detection Against the Phase 1 Envelope Baseline: Internal Heat Load Correction</w:t>
            </w:r>
            <w:r>
              <w:rPr>
                <w:noProof/>
                <w:webHidden/>
              </w:rPr>
              <w:tab/>
            </w:r>
            <w:r>
              <w:rPr>
                <w:noProof/>
                <w:webHidden/>
              </w:rPr>
              <w:fldChar w:fldCharType="begin"/>
            </w:r>
            <w:r>
              <w:rPr>
                <w:noProof/>
                <w:webHidden/>
              </w:rPr>
              <w:instrText xml:space="preserve"> PAGEREF _Toc229320694 \h </w:instrText>
            </w:r>
            <w:r>
              <w:rPr>
                <w:noProof/>
                <w:webHidden/>
              </w:rPr>
            </w:r>
            <w:r>
              <w:rPr>
                <w:noProof/>
                <w:webHidden/>
              </w:rPr>
              <w:fldChar w:fldCharType="separate"/>
            </w:r>
            <w:r>
              <w:rPr>
                <w:noProof/>
                <w:webHidden/>
              </w:rPr>
              <w:t>13</w:t>
            </w:r>
            <w:r>
              <w:rPr>
                <w:noProof/>
                <w:webHidden/>
              </w:rPr>
              <w:fldChar w:fldCharType="end"/>
            </w:r>
          </w:hyperlink>
        </w:p>
        <w:p w14:paraId="65C83532" w14:textId="432751FF" w:rsidR="00F63EF2" w:rsidRDefault="00F63EF2">
          <w:pPr>
            <w:pStyle w:val="TOC2"/>
            <w:tabs>
              <w:tab w:val="right" w:leader="dot" w:pos="9926"/>
            </w:tabs>
            <w:rPr>
              <w:rFonts w:eastAsiaTheme="minorEastAsia"/>
              <w:b w:val="0"/>
              <w:bCs w:val="0"/>
              <w:noProof/>
              <w:sz w:val="24"/>
              <w:szCs w:val="24"/>
            </w:rPr>
          </w:pPr>
          <w:hyperlink w:anchor="_Toc229320695" w:history="1">
            <w:r w:rsidRPr="0079039A">
              <w:rPr>
                <w:rStyle w:val="Hyperlink"/>
                <w:noProof/>
              </w:rPr>
              <w:t>5. Phase 3: Cohort Intelligence (Metcalfe’s Law)</w:t>
            </w:r>
            <w:r>
              <w:rPr>
                <w:noProof/>
                <w:webHidden/>
              </w:rPr>
              <w:tab/>
            </w:r>
            <w:r>
              <w:rPr>
                <w:noProof/>
                <w:webHidden/>
              </w:rPr>
              <w:fldChar w:fldCharType="begin"/>
            </w:r>
            <w:r>
              <w:rPr>
                <w:noProof/>
                <w:webHidden/>
              </w:rPr>
              <w:instrText xml:space="preserve"> PAGEREF _Toc229320695 \h </w:instrText>
            </w:r>
            <w:r>
              <w:rPr>
                <w:noProof/>
                <w:webHidden/>
              </w:rPr>
            </w:r>
            <w:r>
              <w:rPr>
                <w:noProof/>
                <w:webHidden/>
              </w:rPr>
              <w:fldChar w:fldCharType="separate"/>
            </w:r>
            <w:r>
              <w:rPr>
                <w:noProof/>
                <w:webHidden/>
              </w:rPr>
              <w:t>13</w:t>
            </w:r>
            <w:r>
              <w:rPr>
                <w:noProof/>
                <w:webHidden/>
              </w:rPr>
              <w:fldChar w:fldCharType="end"/>
            </w:r>
          </w:hyperlink>
        </w:p>
        <w:p w14:paraId="4CADB2EE" w14:textId="434125C4" w:rsidR="00F63EF2" w:rsidRDefault="00F63EF2">
          <w:pPr>
            <w:pStyle w:val="TOC3"/>
            <w:tabs>
              <w:tab w:val="right" w:leader="dot" w:pos="9926"/>
            </w:tabs>
            <w:rPr>
              <w:rFonts w:eastAsiaTheme="minorEastAsia"/>
              <w:noProof/>
              <w:sz w:val="24"/>
              <w:szCs w:val="24"/>
            </w:rPr>
          </w:pPr>
          <w:hyperlink w:anchor="_Toc229320696" w:history="1">
            <w:r w:rsidRPr="0079039A">
              <w:rPr>
                <w:rStyle w:val="Hyperlink"/>
                <w:b/>
                <w:bCs/>
                <w:noProof/>
              </w:rPr>
              <w:t>5.1 The Cohort Transition: The 90-Home Threshold</w:t>
            </w:r>
            <w:r>
              <w:rPr>
                <w:noProof/>
                <w:webHidden/>
              </w:rPr>
              <w:tab/>
            </w:r>
            <w:r>
              <w:rPr>
                <w:noProof/>
                <w:webHidden/>
              </w:rPr>
              <w:fldChar w:fldCharType="begin"/>
            </w:r>
            <w:r>
              <w:rPr>
                <w:noProof/>
                <w:webHidden/>
              </w:rPr>
              <w:instrText xml:space="preserve"> PAGEREF _Toc229320696 \h </w:instrText>
            </w:r>
            <w:r>
              <w:rPr>
                <w:noProof/>
                <w:webHidden/>
              </w:rPr>
            </w:r>
            <w:r>
              <w:rPr>
                <w:noProof/>
                <w:webHidden/>
              </w:rPr>
              <w:fldChar w:fldCharType="separate"/>
            </w:r>
            <w:r>
              <w:rPr>
                <w:noProof/>
                <w:webHidden/>
              </w:rPr>
              <w:t>14</w:t>
            </w:r>
            <w:r>
              <w:rPr>
                <w:noProof/>
                <w:webHidden/>
              </w:rPr>
              <w:fldChar w:fldCharType="end"/>
            </w:r>
          </w:hyperlink>
        </w:p>
        <w:p w14:paraId="3EB6204A" w14:textId="3DA8CCCF" w:rsidR="00F63EF2" w:rsidRDefault="00F63EF2">
          <w:pPr>
            <w:pStyle w:val="TOC3"/>
            <w:tabs>
              <w:tab w:val="right" w:leader="dot" w:pos="9926"/>
            </w:tabs>
            <w:rPr>
              <w:rFonts w:eastAsiaTheme="minorEastAsia"/>
              <w:noProof/>
              <w:sz w:val="24"/>
              <w:szCs w:val="24"/>
            </w:rPr>
          </w:pPr>
          <w:hyperlink w:anchor="_Toc229320697" w:history="1">
            <w:r w:rsidRPr="0079039A">
              <w:rPr>
                <w:rStyle w:val="Hyperlink"/>
                <w:b/>
                <w:bCs/>
                <w:noProof/>
              </w:rPr>
              <w:t>5.2 Big Digital Twin Adjudication &amp; Network Effects</w:t>
            </w:r>
            <w:r>
              <w:rPr>
                <w:noProof/>
                <w:webHidden/>
              </w:rPr>
              <w:tab/>
            </w:r>
            <w:r>
              <w:rPr>
                <w:noProof/>
                <w:webHidden/>
              </w:rPr>
              <w:fldChar w:fldCharType="begin"/>
            </w:r>
            <w:r>
              <w:rPr>
                <w:noProof/>
                <w:webHidden/>
              </w:rPr>
              <w:instrText xml:space="preserve"> PAGEREF _Toc229320697 \h </w:instrText>
            </w:r>
            <w:r>
              <w:rPr>
                <w:noProof/>
                <w:webHidden/>
              </w:rPr>
            </w:r>
            <w:r>
              <w:rPr>
                <w:noProof/>
                <w:webHidden/>
              </w:rPr>
              <w:fldChar w:fldCharType="separate"/>
            </w:r>
            <w:r>
              <w:rPr>
                <w:noProof/>
                <w:webHidden/>
              </w:rPr>
              <w:t>14</w:t>
            </w:r>
            <w:r>
              <w:rPr>
                <w:noProof/>
                <w:webHidden/>
              </w:rPr>
              <w:fldChar w:fldCharType="end"/>
            </w:r>
          </w:hyperlink>
        </w:p>
        <w:p w14:paraId="6C0189D3" w14:textId="3895C7CE" w:rsidR="00F63EF2" w:rsidRDefault="00F63EF2">
          <w:pPr>
            <w:pStyle w:val="TOC2"/>
            <w:tabs>
              <w:tab w:val="right" w:leader="dot" w:pos="9926"/>
            </w:tabs>
            <w:rPr>
              <w:rFonts w:eastAsiaTheme="minorEastAsia"/>
              <w:b w:val="0"/>
              <w:bCs w:val="0"/>
              <w:noProof/>
              <w:sz w:val="24"/>
              <w:szCs w:val="24"/>
            </w:rPr>
          </w:pPr>
          <w:hyperlink w:anchor="_Toc229320698" w:history="1">
            <w:r w:rsidRPr="0079039A">
              <w:rPr>
                <w:rStyle w:val="Hyperlink"/>
                <w:noProof/>
              </w:rPr>
              <w:t>6. Ongoing Operations (The "Silent Butler")</w:t>
            </w:r>
            <w:r>
              <w:rPr>
                <w:noProof/>
                <w:webHidden/>
              </w:rPr>
              <w:tab/>
            </w:r>
            <w:r>
              <w:rPr>
                <w:noProof/>
                <w:webHidden/>
              </w:rPr>
              <w:fldChar w:fldCharType="begin"/>
            </w:r>
            <w:r>
              <w:rPr>
                <w:noProof/>
                <w:webHidden/>
              </w:rPr>
              <w:instrText xml:space="preserve"> PAGEREF _Toc229320698 \h </w:instrText>
            </w:r>
            <w:r>
              <w:rPr>
                <w:noProof/>
                <w:webHidden/>
              </w:rPr>
            </w:r>
            <w:r>
              <w:rPr>
                <w:noProof/>
                <w:webHidden/>
              </w:rPr>
              <w:fldChar w:fldCharType="separate"/>
            </w:r>
            <w:r>
              <w:rPr>
                <w:noProof/>
                <w:webHidden/>
              </w:rPr>
              <w:t>14</w:t>
            </w:r>
            <w:r>
              <w:rPr>
                <w:noProof/>
                <w:webHidden/>
              </w:rPr>
              <w:fldChar w:fldCharType="end"/>
            </w:r>
          </w:hyperlink>
        </w:p>
        <w:p w14:paraId="121166C8" w14:textId="731EC708" w:rsidR="00F63EF2" w:rsidRDefault="00F63EF2">
          <w:pPr>
            <w:pStyle w:val="TOC3"/>
            <w:tabs>
              <w:tab w:val="right" w:leader="dot" w:pos="9926"/>
            </w:tabs>
            <w:rPr>
              <w:rFonts w:eastAsiaTheme="minorEastAsia"/>
              <w:noProof/>
              <w:sz w:val="24"/>
              <w:szCs w:val="24"/>
            </w:rPr>
          </w:pPr>
          <w:hyperlink w:anchor="_Toc229320699" w:history="1">
            <w:r w:rsidRPr="0079039A">
              <w:rPr>
                <w:rStyle w:val="Hyperlink"/>
                <w:b/>
                <w:bCs/>
                <w:noProof/>
              </w:rPr>
              <w:t>6.1 Occupant Preference Mapping</w:t>
            </w:r>
            <w:r>
              <w:rPr>
                <w:noProof/>
                <w:webHidden/>
              </w:rPr>
              <w:tab/>
            </w:r>
            <w:r>
              <w:rPr>
                <w:noProof/>
                <w:webHidden/>
              </w:rPr>
              <w:fldChar w:fldCharType="begin"/>
            </w:r>
            <w:r>
              <w:rPr>
                <w:noProof/>
                <w:webHidden/>
              </w:rPr>
              <w:instrText xml:space="preserve"> PAGEREF _Toc229320699 \h </w:instrText>
            </w:r>
            <w:r>
              <w:rPr>
                <w:noProof/>
                <w:webHidden/>
              </w:rPr>
            </w:r>
            <w:r>
              <w:rPr>
                <w:noProof/>
                <w:webHidden/>
              </w:rPr>
              <w:fldChar w:fldCharType="separate"/>
            </w:r>
            <w:r>
              <w:rPr>
                <w:noProof/>
                <w:webHidden/>
              </w:rPr>
              <w:t>14</w:t>
            </w:r>
            <w:r>
              <w:rPr>
                <w:noProof/>
                <w:webHidden/>
              </w:rPr>
              <w:fldChar w:fldCharType="end"/>
            </w:r>
          </w:hyperlink>
        </w:p>
        <w:p w14:paraId="40A0B530" w14:textId="1FA18CC4" w:rsidR="00F63EF2" w:rsidRDefault="00F63EF2">
          <w:pPr>
            <w:pStyle w:val="TOC3"/>
            <w:tabs>
              <w:tab w:val="right" w:leader="dot" w:pos="9926"/>
            </w:tabs>
            <w:rPr>
              <w:rFonts w:eastAsiaTheme="minorEastAsia"/>
              <w:noProof/>
              <w:sz w:val="24"/>
              <w:szCs w:val="24"/>
            </w:rPr>
          </w:pPr>
          <w:hyperlink w:anchor="_Toc229320700" w:history="1">
            <w:r w:rsidRPr="0079039A">
              <w:rPr>
                <w:rStyle w:val="Hyperlink"/>
                <w:b/>
                <w:bCs/>
                <w:noProof/>
              </w:rPr>
              <w:t>6.2 The "Negawatt" Facility: Proactive Energy Management</w:t>
            </w:r>
            <w:r>
              <w:rPr>
                <w:noProof/>
                <w:webHidden/>
              </w:rPr>
              <w:tab/>
            </w:r>
            <w:r>
              <w:rPr>
                <w:noProof/>
                <w:webHidden/>
              </w:rPr>
              <w:fldChar w:fldCharType="begin"/>
            </w:r>
            <w:r>
              <w:rPr>
                <w:noProof/>
                <w:webHidden/>
              </w:rPr>
              <w:instrText xml:space="preserve"> PAGEREF _Toc229320700 \h </w:instrText>
            </w:r>
            <w:r>
              <w:rPr>
                <w:noProof/>
                <w:webHidden/>
              </w:rPr>
            </w:r>
            <w:r>
              <w:rPr>
                <w:noProof/>
                <w:webHidden/>
              </w:rPr>
              <w:fldChar w:fldCharType="separate"/>
            </w:r>
            <w:r>
              <w:rPr>
                <w:noProof/>
                <w:webHidden/>
              </w:rPr>
              <w:t>15</w:t>
            </w:r>
            <w:r>
              <w:rPr>
                <w:noProof/>
                <w:webHidden/>
              </w:rPr>
              <w:fldChar w:fldCharType="end"/>
            </w:r>
          </w:hyperlink>
        </w:p>
        <w:p w14:paraId="7053C48E" w14:textId="4961F772" w:rsidR="00F63EF2" w:rsidRDefault="00F63EF2">
          <w:pPr>
            <w:pStyle w:val="TOC2"/>
            <w:tabs>
              <w:tab w:val="right" w:leader="dot" w:pos="9926"/>
            </w:tabs>
            <w:rPr>
              <w:rFonts w:eastAsiaTheme="minorEastAsia"/>
              <w:b w:val="0"/>
              <w:bCs w:val="0"/>
              <w:noProof/>
              <w:sz w:val="24"/>
              <w:szCs w:val="24"/>
            </w:rPr>
          </w:pPr>
          <w:hyperlink w:anchor="_Toc229320701" w:history="1">
            <w:r w:rsidRPr="0079039A">
              <w:rPr>
                <w:rStyle w:val="Hyperlink"/>
                <w:noProof/>
              </w:rPr>
              <w:t>7.  Competitive Advantages (The AIVU Moat)</w:t>
            </w:r>
            <w:r>
              <w:rPr>
                <w:noProof/>
                <w:webHidden/>
              </w:rPr>
              <w:tab/>
            </w:r>
            <w:r>
              <w:rPr>
                <w:noProof/>
                <w:webHidden/>
              </w:rPr>
              <w:fldChar w:fldCharType="begin"/>
            </w:r>
            <w:r>
              <w:rPr>
                <w:noProof/>
                <w:webHidden/>
              </w:rPr>
              <w:instrText xml:space="preserve"> PAGEREF _Toc229320701 \h </w:instrText>
            </w:r>
            <w:r>
              <w:rPr>
                <w:noProof/>
                <w:webHidden/>
              </w:rPr>
            </w:r>
            <w:r>
              <w:rPr>
                <w:noProof/>
                <w:webHidden/>
              </w:rPr>
              <w:fldChar w:fldCharType="separate"/>
            </w:r>
            <w:r>
              <w:rPr>
                <w:noProof/>
                <w:webHidden/>
              </w:rPr>
              <w:t>15</w:t>
            </w:r>
            <w:r>
              <w:rPr>
                <w:noProof/>
                <w:webHidden/>
              </w:rPr>
              <w:fldChar w:fldCharType="end"/>
            </w:r>
          </w:hyperlink>
        </w:p>
        <w:p w14:paraId="58A87EC9" w14:textId="23E6AC8F" w:rsidR="00F63EF2" w:rsidRDefault="00F63EF2">
          <w:pPr>
            <w:pStyle w:val="TOC3"/>
            <w:tabs>
              <w:tab w:val="right" w:leader="dot" w:pos="9926"/>
            </w:tabs>
            <w:rPr>
              <w:rFonts w:eastAsiaTheme="minorEastAsia"/>
              <w:noProof/>
              <w:sz w:val="24"/>
              <w:szCs w:val="24"/>
            </w:rPr>
          </w:pPr>
          <w:hyperlink w:anchor="_Toc229320702" w:history="1">
            <w:r w:rsidRPr="0079039A">
              <w:rPr>
                <w:rStyle w:val="Hyperlink"/>
                <w:b/>
                <w:bCs/>
                <w:noProof/>
              </w:rPr>
              <w:t>7.1 Hard-Tech vs. Consumer Gadgets (The "Toy" Gap)</w:t>
            </w:r>
            <w:r>
              <w:rPr>
                <w:noProof/>
                <w:webHidden/>
              </w:rPr>
              <w:tab/>
            </w:r>
            <w:r>
              <w:rPr>
                <w:noProof/>
                <w:webHidden/>
              </w:rPr>
              <w:fldChar w:fldCharType="begin"/>
            </w:r>
            <w:r>
              <w:rPr>
                <w:noProof/>
                <w:webHidden/>
              </w:rPr>
              <w:instrText xml:space="preserve"> PAGEREF _Toc229320702 \h </w:instrText>
            </w:r>
            <w:r>
              <w:rPr>
                <w:noProof/>
                <w:webHidden/>
              </w:rPr>
            </w:r>
            <w:r>
              <w:rPr>
                <w:noProof/>
                <w:webHidden/>
              </w:rPr>
              <w:fldChar w:fldCharType="separate"/>
            </w:r>
            <w:r>
              <w:rPr>
                <w:noProof/>
                <w:webHidden/>
              </w:rPr>
              <w:t>15</w:t>
            </w:r>
            <w:r>
              <w:rPr>
                <w:noProof/>
                <w:webHidden/>
              </w:rPr>
              <w:fldChar w:fldCharType="end"/>
            </w:r>
          </w:hyperlink>
        </w:p>
        <w:p w14:paraId="5314C0F5" w14:textId="5B455074" w:rsidR="00F63EF2" w:rsidRDefault="00F63EF2">
          <w:pPr>
            <w:pStyle w:val="TOC3"/>
            <w:tabs>
              <w:tab w:val="right" w:leader="dot" w:pos="9926"/>
            </w:tabs>
            <w:rPr>
              <w:rFonts w:eastAsiaTheme="minorEastAsia"/>
              <w:noProof/>
              <w:sz w:val="24"/>
              <w:szCs w:val="24"/>
            </w:rPr>
          </w:pPr>
          <w:hyperlink w:anchor="_Toc229320703" w:history="1">
            <w:r w:rsidRPr="0079039A">
              <w:rPr>
                <w:rStyle w:val="Hyperlink"/>
                <w:b/>
                <w:bCs/>
                <w:noProof/>
              </w:rPr>
              <w:t>7.2 Physics-Informed AI vs. Black-Box Statistics</w:t>
            </w:r>
            <w:r>
              <w:rPr>
                <w:noProof/>
                <w:webHidden/>
              </w:rPr>
              <w:tab/>
            </w:r>
            <w:r>
              <w:rPr>
                <w:noProof/>
                <w:webHidden/>
              </w:rPr>
              <w:fldChar w:fldCharType="begin"/>
            </w:r>
            <w:r>
              <w:rPr>
                <w:noProof/>
                <w:webHidden/>
              </w:rPr>
              <w:instrText xml:space="preserve"> PAGEREF _Toc229320703 \h </w:instrText>
            </w:r>
            <w:r>
              <w:rPr>
                <w:noProof/>
                <w:webHidden/>
              </w:rPr>
            </w:r>
            <w:r>
              <w:rPr>
                <w:noProof/>
                <w:webHidden/>
              </w:rPr>
              <w:fldChar w:fldCharType="separate"/>
            </w:r>
            <w:r>
              <w:rPr>
                <w:noProof/>
                <w:webHidden/>
              </w:rPr>
              <w:t>15</w:t>
            </w:r>
            <w:r>
              <w:rPr>
                <w:noProof/>
                <w:webHidden/>
              </w:rPr>
              <w:fldChar w:fldCharType="end"/>
            </w:r>
          </w:hyperlink>
        </w:p>
        <w:p w14:paraId="5E3B4BF9" w14:textId="7AA7889B" w:rsidR="00F63EF2" w:rsidRDefault="00F63EF2">
          <w:pPr>
            <w:pStyle w:val="TOC3"/>
            <w:tabs>
              <w:tab w:val="right" w:leader="dot" w:pos="9926"/>
            </w:tabs>
            <w:rPr>
              <w:rFonts w:eastAsiaTheme="minorEastAsia"/>
              <w:noProof/>
              <w:sz w:val="24"/>
              <w:szCs w:val="24"/>
            </w:rPr>
          </w:pPr>
          <w:hyperlink w:anchor="_Toc229320704" w:history="1">
            <w:r w:rsidRPr="0079039A">
              <w:rPr>
                <w:rStyle w:val="Hyperlink"/>
                <w:b/>
                <w:bCs/>
                <w:noProof/>
              </w:rPr>
              <w:t>7.3 Regulatory Bypass &amp; The "Administrative State"</w:t>
            </w:r>
            <w:r>
              <w:rPr>
                <w:noProof/>
                <w:webHidden/>
              </w:rPr>
              <w:tab/>
            </w:r>
            <w:r>
              <w:rPr>
                <w:noProof/>
                <w:webHidden/>
              </w:rPr>
              <w:fldChar w:fldCharType="begin"/>
            </w:r>
            <w:r>
              <w:rPr>
                <w:noProof/>
                <w:webHidden/>
              </w:rPr>
              <w:instrText xml:space="preserve"> PAGEREF _Toc229320704 \h </w:instrText>
            </w:r>
            <w:r>
              <w:rPr>
                <w:noProof/>
                <w:webHidden/>
              </w:rPr>
            </w:r>
            <w:r>
              <w:rPr>
                <w:noProof/>
                <w:webHidden/>
              </w:rPr>
              <w:fldChar w:fldCharType="separate"/>
            </w:r>
            <w:r>
              <w:rPr>
                <w:noProof/>
                <w:webHidden/>
              </w:rPr>
              <w:t>15</w:t>
            </w:r>
            <w:r>
              <w:rPr>
                <w:noProof/>
                <w:webHidden/>
              </w:rPr>
              <w:fldChar w:fldCharType="end"/>
            </w:r>
          </w:hyperlink>
        </w:p>
        <w:p w14:paraId="23DE688C" w14:textId="4D2209F9" w:rsidR="00F63EF2" w:rsidRDefault="00F63EF2">
          <w:pPr>
            <w:pStyle w:val="TOC3"/>
            <w:tabs>
              <w:tab w:val="right" w:leader="dot" w:pos="9926"/>
            </w:tabs>
            <w:rPr>
              <w:rFonts w:eastAsiaTheme="minorEastAsia"/>
              <w:noProof/>
              <w:sz w:val="24"/>
              <w:szCs w:val="24"/>
            </w:rPr>
          </w:pPr>
          <w:hyperlink w:anchor="_Toc229320705" w:history="1">
            <w:r w:rsidRPr="0079039A">
              <w:rPr>
                <w:rStyle w:val="Hyperlink"/>
                <w:b/>
                <w:bCs/>
                <w:noProof/>
              </w:rPr>
              <w:t>7.4 The "American Pragmatist" Scale</w:t>
            </w:r>
            <w:r>
              <w:rPr>
                <w:noProof/>
                <w:webHidden/>
              </w:rPr>
              <w:tab/>
            </w:r>
            <w:r>
              <w:rPr>
                <w:noProof/>
                <w:webHidden/>
              </w:rPr>
              <w:fldChar w:fldCharType="begin"/>
            </w:r>
            <w:r>
              <w:rPr>
                <w:noProof/>
                <w:webHidden/>
              </w:rPr>
              <w:instrText xml:space="preserve"> PAGEREF _Toc229320705 \h </w:instrText>
            </w:r>
            <w:r>
              <w:rPr>
                <w:noProof/>
                <w:webHidden/>
              </w:rPr>
            </w:r>
            <w:r>
              <w:rPr>
                <w:noProof/>
                <w:webHidden/>
              </w:rPr>
              <w:fldChar w:fldCharType="separate"/>
            </w:r>
            <w:r>
              <w:rPr>
                <w:noProof/>
                <w:webHidden/>
              </w:rPr>
              <w:t>16</w:t>
            </w:r>
            <w:r>
              <w:rPr>
                <w:noProof/>
                <w:webHidden/>
              </w:rPr>
              <w:fldChar w:fldCharType="end"/>
            </w:r>
          </w:hyperlink>
        </w:p>
        <w:p w14:paraId="265D9B94" w14:textId="58164F52" w:rsidR="00F63EF2" w:rsidRDefault="00F63EF2">
          <w:pPr>
            <w:pStyle w:val="TOC1"/>
            <w:tabs>
              <w:tab w:val="right" w:leader="dot" w:pos="9926"/>
            </w:tabs>
            <w:rPr>
              <w:rFonts w:eastAsiaTheme="minorEastAsia"/>
              <w:b w:val="0"/>
              <w:bCs w:val="0"/>
              <w:i w:val="0"/>
              <w:iCs w:val="0"/>
              <w:noProof/>
            </w:rPr>
          </w:pPr>
          <w:hyperlink w:anchor="_Toc229320706" w:history="1">
            <w:r w:rsidRPr="0079039A">
              <w:rPr>
                <w:rStyle w:val="Hyperlink"/>
                <w:noProof/>
              </w:rPr>
              <w:t>The Big Digital Twin</w:t>
            </w:r>
            <w:r>
              <w:rPr>
                <w:noProof/>
                <w:webHidden/>
              </w:rPr>
              <w:tab/>
            </w:r>
            <w:r>
              <w:rPr>
                <w:noProof/>
                <w:webHidden/>
              </w:rPr>
              <w:fldChar w:fldCharType="begin"/>
            </w:r>
            <w:r>
              <w:rPr>
                <w:noProof/>
                <w:webHidden/>
              </w:rPr>
              <w:instrText xml:space="preserve"> PAGEREF _Toc229320706 \h </w:instrText>
            </w:r>
            <w:r>
              <w:rPr>
                <w:noProof/>
                <w:webHidden/>
              </w:rPr>
            </w:r>
            <w:r>
              <w:rPr>
                <w:noProof/>
                <w:webHidden/>
              </w:rPr>
              <w:fldChar w:fldCharType="separate"/>
            </w:r>
            <w:r>
              <w:rPr>
                <w:noProof/>
                <w:webHidden/>
              </w:rPr>
              <w:t>16</w:t>
            </w:r>
            <w:r>
              <w:rPr>
                <w:noProof/>
                <w:webHidden/>
              </w:rPr>
              <w:fldChar w:fldCharType="end"/>
            </w:r>
          </w:hyperlink>
        </w:p>
        <w:p w14:paraId="702632A3" w14:textId="42C83F38" w:rsidR="00F63EF2" w:rsidRDefault="00F63EF2">
          <w:pPr>
            <w:pStyle w:val="TOC2"/>
            <w:tabs>
              <w:tab w:val="right" w:leader="dot" w:pos="9926"/>
            </w:tabs>
            <w:rPr>
              <w:rFonts w:eastAsiaTheme="minorEastAsia"/>
              <w:b w:val="0"/>
              <w:bCs w:val="0"/>
              <w:noProof/>
              <w:sz w:val="24"/>
              <w:szCs w:val="24"/>
            </w:rPr>
          </w:pPr>
          <w:hyperlink w:anchor="_Toc229320707" w:history="1">
            <w:r w:rsidRPr="0079039A">
              <w:rPr>
                <w:rStyle w:val="Hyperlink"/>
                <w:noProof/>
              </w:rPr>
              <w:t>1. The Phase 0 Initialization Engine</w:t>
            </w:r>
            <w:r>
              <w:rPr>
                <w:noProof/>
                <w:webHidden/>
              </w:rPr>
              <w:tab/>
            </w:r>
            <w:r>
              <w:rPr>
                <w:noProof/>
                <w:webHidden/>
              </w:rPr>
              <w:fldChar w:fldCharType="begin"/>
            </w:r>
            <w:r>
              <w:rPr>
                <w:noProof/>
                <w:webHidden/>
              </w:rPr>
              <w:instrText xml:space="preserve"> PAGEREF _Toc229320707 \h </w:instrText>
            </w:r>
            <w:r>
              <w:rPr>
                <w:noProof/>
                <w:webHidden/>
              </w:rPr>
            </w:r>
            <w:r>
              <w:rPr>
                <w:noProof/>
                <w:webHidden/>
              </w:rPr>
              <w:fldChar w:fldCharType="separate"/>
            </w:r>
            <w:r>
              <w:rPr>
                <w:noProof/>
                <w:webHidden/>
              </w:rPr>
              <w:t>16</w:t>
            </w:r>
            <w:r>
              <w:rPr>
                <w:noProof/>
                <w:webHidden/>
              </w:rPr>
              <w:fldChar w:fldCharType="end"/>
            </w:r>
          </w:hyperlink>
        </w:p>
        <w:p w14:paraId="04718810" w14:textId="5F431F2D" w:rsidR="00F63EF2" w:rsidRDefault="00F63EF2">
          <w:pPr>
            <w:pStyle w:val="TOC3"/>
            <w:tabs>
              <w:tab w:val="right" w:leader="dot" w:pos="9926"/>
            </w:tabs>
            <w:rPr>
              <w:rFonts w:eastAsiaTheme="minorEastAsia"/>
              <w:noProof/>
              <w:sz w:val="24"/>
              <w:szCs w:val="24"/>
            </w:rPr>
          </w:pPr>
          <w:hyperlink w:anchor="_Toc229320708" w:history="1">
            <w:r w:rsidRPr="0079039A">
              <w:rPr>
                <w:rStyle w:val="Hyperlink"/>
                <w:b/>
                <w:bCs/>
                <w:noProof/>
              </w:rPr>
              <w:t>1.1 Multimodal Ingestion &amp; Engineering Data Synthesis</w:t>
            </w:r>
            <w:r>
              <w:rPr>
                <w:noProof/>
                <w:webHidden/>
              </w:rPr>
              <w:tab/>
            </w:r>
            <w:r>
              <w:rPr>
                <w:noProof/>
                <w:webHidden/>
              </w:rPr>
              <w:fldChar w:fldCharType="begin"/>
            </w:r>
            <w:r>
              <w:rPr>
                <w:noProof/>
                <w:webHidden/>
              </w:rPr>
              <w:instrText xml:space="preserve"> PAGEREF _Toc229320708 \h </w:instrText>
            </w:r>
            <w:r>
              <w:rPr>
                <w:noProof/>
                <w:webHidden/>
              </w:rPr>
            </w:r>
            <w:r>
              <w:rPr>
                <w:noProof/>
                <w:webHidden/>
              </w:rPr>
              <w:fldChar w:fldCharType="separate"/>
            </w:r>
            <w:r>
              <w:rPr>
                <w:noProof/>
                <w:webHidden/>
              </w:rPr>
              <w:t>16</w:t>
            </w:r>
            <w:r>
              <w:rPr>
                <w:noProof/>
                <w:webHidden/>
              </w:rPr>
              <w:fldChar w:fldCharType="end"/>
            </w:r>
          </w:hyperlink>
        </w:p>
        <w:p w14:paraId="127D700F" w14:textId="57387100" w:rsidR="00F63EF2" w:rsidRDefault="00F63EF2">
          <w:pPr>
            <w:pStyle w:val="TOC3"/>
            <w:tabs>
              <w:tab w:val="right" w:leader="dot" w:pos="9926"/>
            </w:tabs>
            <w:rPr>
              <w:rFonts w:eastAsiaTheme="minorEastAsia"/>
              <w:noProof/>
              <w:sz w:val="24"/>
              <w:szCs w:val="24"/>
            </w:rPr>
          </w:pPr>
          <w:hyperlink w:anchor="_Toc229320709" w:history="1">
            <w:r w:rsidRPr="0079039A">
              <w:rPr>
                <w:rStyle w:val="Hyperlink"/>
                <w:b/>
                <w:bCs/>
                <w:noProof/>
              </w:rPr>
              <w:t>1.2 Deterministic Synthetic Training &amp; Firmware Deployment</w:t>
            </w:r>
            <w:r>
              <w:rPr>
                <w:noProof/>
                <w:webHidden/>
              </w:rPr>
              <w:tab/>
            </w:r>
            <w:r>
              <w:rPr>
                <w:noProof/>
                <w:webHidden/>
              </w:rPr>
              <w:fldChar w:fldCharType="begin"/>
            </w:r>
            <w:r>
              <w:rPr>
                <w:noProof/>
                <w:webHidden/>
              </w:rPr>
              <w:instrText xml:space="preserve"> PAGEREF _Toc229320709 \h </w:instrText>
            </w:r>
            <w:r>
              <w:rPr>
                <w:noProof/>
                <w:webHidden/>
              </w:rPr>
            </w:r>
            <w:r>
              <w:rPr>
                <w:noProof/>
                <w:webHidden/>
              </w:rPr>
              <w:fldChar w:fldCharType="separate"/>
            </w:r>
            <w:r>
              <w:rPr>
                <w:noProof/>
                <w:webHidden/>
              </w:rPr>
              <w:t>17</w:t>
            </w:r>
            <w:r>
              <w:rPr>
                <w:noProof/>
                <w:webHidden/>
              </w:rPr>
              <w:fldChar w:fldCharType="end"/>
            </w:r>
          </w:hyperlink>
        </w:p>
        <w:p w14:paraId="7140A34C" w14:textId="4F9A3772" w:rsidR="00F63EF2" w:rsidRDefault="00F63EF2">
          <w:pPr>
            <w:pStyle w:val="TOC2"/>
            <w:tabs>
              <w:tab w:val="right" w:leader="dot" w:pos="9926"/>
            </w:tabs>
            <w:rPr>
              <w:rFonts w:eastAsiaTheme="minorEastAsia"/>
              <w:b w:val="0"/>
              <w:bCs w:val="0"/>
              <w:noProof/>
              <w:sz w:val="24"/>
              <w:szCs w:val="24"/>
            </w:rPr>
          </w:pPr>
          <w:hyperlink w:anchor="_Toc229320710" w:history="1">
            <w:r w:rsidRPr="0079039A">
              <w:rPr>
                <w:rStyle w:val="Hyperlink"/>
                <w:noProof/>
              </w:rPr>
              <w:t>2. The Multi-Dimensional Taxonomy (The Orthogonal Matrix)</w:t>
            </w:r>
            <w:r>
              <w:rPr>
                <w:noProof/>
                <w:webHidden/>
              </w:rPr>
              <w:tab/>
            </w:r>
            <w:r>
              <w:rPr>
                <w:noProof/>
                <w:webHidden/>
              </w:rPr>
              <w:fldChar w:fldCharType="begin"/>
            </w:r>
            <w:r>
              <w:rPr>
                <w:noProof/>
                <w:webHidden/>
              </w:rPr>
              <w:instrText xml:space="preserve"> PAGEREF _Toc229320710 \h </w:instrText>
            </w:r>
            <w:r>
              <w:rPr>
                <w:noProof/>
                <w:webHidden/>
              </w:rPr>
            </w:r>
            <w:r>
              <w:rPr>
                <w:noProof/>
                <w:webHidden/>
              </w:rPr>
              <w:fldChar w:fldCharType="separate"/>
            </w:r>
            <w:r>
              <w:rPr>
                <w:noProof/>
                <w:webHidden/>
              </w:rPr>
              <w:t>17</w:t>
            </w:r>
            <w:r>
              <w:rPr>
                <w:noProof/>
                <w:webHidden/>
              </w:rPr>
              <w:fldChar w:fldCharType="end"/>
            </w:r>
          </w:hyperlink>
        </w:p>
        <w:p w14:paraId="57C58F1F" w14:textId="4AE4087E" w:rsidR="00F63EF2" w:rsidRDefault="00F63EF2">
          <w:pPr>
            <w:pStyle w:val="TOC3"/>
            <w:tabs>
              <w:tab w:val="right" w:leader="dot" w:pos="9926"/>
            </w:tabs>
            <w:rPr>
              <w:rFonts w:eastAsiaTheme="minorEastAsia"/>
              <w:noProof/>
              <w:sz w:val="24"/>
              <w:szCs w:val="24"/>
            </w:rPr>
          </w:pPr>
          <w:hyperlink w:anchor="_Toc229320711" w:history="1">
            <w:r w:rsidRPr="0079039A">
              <w:rPr>
                <w:rStyle w:val="Hyperlink"/>
                <w:b/>
                <w:bCs/>
                <w:noProof/>
              </w:rPr>
              <w:t>2.1 Climate</w:t>
            </w:r>
            <w:r>
              <w:rPr>
                <w:noProof/>
                <w:webHidden/>
              </w:rPr>
              <w:tab/>
            </w:r>
            <w:r>
              <w:rPr>
                <w:noProof/>
                <w:webHidden/>
              </w:rPr>
              <w:fldChar w:fldCharType="begin"/>
            </w:r>
            <w:r>
              <w:rPr>
                <w:noProof/>
                <w:webHidden/>
              </w:rPr>
              <w:instrText xml:space="preserve"> PAGEREF _Toc229320711 \h </w:instrText>
            </w:r>
            <w:r>
              <w:rPr>
                <w:noProof/>
                <w:webHidden/>
              </w:rPr>
            </w:r>
            <w:r>
              <w:rPr>
                <w:noProof/>
                <w:webHidden/>
              </w:rPr>
              <w:fldChar w:fldCharType="separate"/>
            </w:r>
            <w:r>
              <w:rPr>
                <w:noProof/>
                <w:webHidden/>
              </w:rPr>
              <w:t>18</w:t>
            </w:r>
            <w:r>
              <w:rPr>
                <w:noProof/>
                <w:webHidden/>
              </w:rPr>
              <w:fldChar w:fldCharType="end"/>
            </w:r>
          </w:hyperlink>
        </w:p>
        <w:p w14:paraId="5110837C" w14:textId="488DE4A8" w:rsidR="00F63EF2" w:rsidRDefault="00F63EF2">
          <w:pPr>
            <w:pStyle w:val="TOC3"/>
            <w:tabs>
              <w:tab w:val="right" w:leader="dot" w:pos="9926"/>
            </w:tabs>
            <w:rPr>
              <w:rFonts w:eastAsiaTheme="minorEastAsia"/>
              <w:noProof/>
              <w:sz w:val="24"/>
              <w:szCs w:val="24"/>
            </w:rPr>
          </w:pPr>
          <w:hyperlink w:anchor="_Toc229320712" w:history="1">
            <w:r w:rsidRPr="0079039A">
              <w:rPr>
                <w:rStyle w:val="Hyperlink"/>
                <w:b/>
                <w:bCs/>
                <w:noProof/>
              </w:rPr>
              <w:t>2.2 Structure</w:t>
            </w:r>
            <w:r>
              <w:rPr>
                <w:noProof/>
                <w:webHidden/>
              </w:rPr>
              <w:tab/>
            </w:r>
            <w:r>
              <w:rPr>
                <w:noProof/>
                <w:webHidden/>
              </w:rPr>
              <w:fldChar w:fldCharType="begin"/>
            </w:r>
            <w:r>
              <w:rPr>
                <w:noProof/>
                <w:webHidden/>
              </w:rPr>
              <w:instrText xml:space="preserve"> PAGEREF _Toc229320712 \h </w:instrText>
            </w:r>
            <w:r>
              <w:rPr>
                <w:noProof/>
                <w:webHidden/>
              </w:rPr>
            </w:r>
            <w:r>
              <w:rPr>
                <w:noProof/>
                <w:webHidden/>
              </w:rPr>
              <w:fldChar w:fldCharType="separate"/>
            </w:r>
            <w:r>
              <w:rPr>
                <w:noProof/>
                <w:webHidden/>
              </w:rPr>
              <w:t>18</w:t>
            </w:r>
            <w:r>
              <w:rPr>
                <w:noProof/>
                <w:webHidden/>
              </w:rPr>
              <w:fldChar w:fldCharType="end"/>
            </w:r>
          </w:hyperlink>
        </w:p>
        <w:p w14:paraId="0191031E" w14:textId="73DD54D1" w:rsidR="00F63EF2" w:rsidRDefault="00F63EF2">
          <w:pPr>
            <w:pStyle w:val="TOC3"/>
            <w:tabs>
              <w:tab w:val="right" w:leader="dot" w:pos="9926"/>
            </w:tabs>
            <w:rPr>
              <w:rFonts w:eastAsiaTheme="minorEastAsia"/>
              <w:noProof/>
              <w:sz w:val="24"/>
              <w:szCs w:val="24"/>
            </w:rPr>
          </w:pPr>
          <w:hyperlink w:anchor="_Toc229320713" w:history="1">
            <w:r w:rsidRPr="0079039A">
              <w:rPr>
                <w:rStyle w:val="Hyperlink"/>
                <w:b/>
                <w:bCs/>
                <w:noProof/>
              </w:rPr>
              <w:t>2.3 Mechanical</w:t>
            </w:r>
            <w:r>
              <w:rPr>
                <w:noProof/>
                <w:webHidden/>
              </w:rPr>
              <w:tab/>
            </w:r>
            <w:r>
              <w:rPr>
                <w:noProof/>
                <w:webHidden/>
              </w:rPr>
              <w:fldChar w:fldCharType="begin"/>
            </w:r>
            <w:r>
              <w:rPr>
                <w:noProof/>
                <w:webHidden/>
              </w:rPr>
              <w:instrText xml:space="preserve"> PAGEREF _Toc229320713 \h </w:instrText>
            </w:r>
            <w:r>
              <w:rPr>
                <w:noProof/>
                <w:webHidden/>
              </w:rPr>
            </w:r>
            <w:r>
              <w:rPr>
                <w:noProof/>
                <w:webHidden/>
              </w:rPr>
              <w:fldChar w:fldCharType="separate"/>
            </w:r>
            <w:r>
              <w:rPr>
                <w:noProof/>
                <w:webHidden/>
              </w:rPr>
              <w:t>18</w:t>
            </w:r>
            <w:r>
              <w:rPr>
                <w:noProof/>
                <w:webHidden/>
              </w:rPr>
              <w:fldChar w:fldCharType="end"/>
            </w:r>
          </w:hyperlink>
        </w:p>
        <w:p w14:paraId="33314BEC" w14:textId="17486296" w:rsidR="00F63EF2" w:rsidRDefault="00F63EF2">
          <w:pPr>
            <w:pStyle w:val="TOC3"/>
            <w:tabs>
              <w:tab w:val="right" w:leader="dot" w:pos="9926"/>
            </w:tabs>
            <w:rPr>
              <w:rFonts w:eastAsiaTheme="minorEastAsia"/>
              <w:noProof/>
              <w:sz w:val="24"/>
              <w:szCs w:val="24"/>
            </w:rPr>
          </w:pPr>
          <w:hyperlink w:anchor="_Toc229320714" w:history="1">
            <w:r w:rsidRPr="0079039A">
              <w:rPr>
                <w:rStyle w:val="Hyperlink"/>
                <w:b/>
                <w:bCs/>
                <w:noProof/>
              </w:rPr>
              <w:t>2.4 Market Segments</w:t>
            </w:r>
            <w:r>
              <w:rPr>
                <w:noProof/>
                <w:webHidden/>
              </w:rPr>
              <w:tab/>
            </w:r>
            <w:r>
              <w:rPr>
                <w:noProof/>
                <w:webHidden/>
              </w:rPr>
              <w:fldChar w:fldCharType="begin"/>
            </w:r>
            <w:r>
              <w:rPr>
                <w:noProof/>
                <w:webHidden/>
              </w:rPr>
              <w:instrText xml:space="preserve"> PAGEREF _Toc229320714 \h </w:instrText>
            </w:r>
            <w:r>
              <w:rPr>
                <w:noProof/>
                <w:webHidden/>
              </w:rPr>
            </w:r>
            <w:r>
              <w:rPr>
                <w:noProof/>
                <w:webHidden/>
              </w:rPr>
              <w:fldChar w:fldCharType="separate"/>
            </w:r>
            <w:r>
              <w:rPr>
                <w:noProof/>
                <w:webHidden/>
              </w:rPr>
              <w:t>18</w:t>
            </w:r>
            <w:r>
              <w:rPr>
                <w:noProof/>
                <w:webHidden/>
              </w:rPr>
              <w:fldChar w:fldCharType="end"/>
            </w:r>
          </w:hyperlink>
        </w:p>
        <w:p w14:paraId="053A7528" w14:textId="087408A3" w:rsidR="00F63EF2" w:rsidRDefault="00F63EF2">
          <w:pPr>
            <w:pStyle w:val="TOC3"/>
            <w:tabs>
              <w:tab w:val="right" w:leader="dot" w:pos="9926"/>
            </w:tabs>
            <w:rPr>
              <w:rFonts w:eastAsiaTheme="minorEastAsia"/>
              <w:noProof/>
              <w:sz w:val="24"/>
              <w:szCs w:val="24"/>
            </w:rPr>
          </w:pPr>
          <w:hyperlink w:anchor="_Toc229320715" w:history="1">
            <w:r w:rsidRPr="0079039A">
              <w:rPr>
                <w:rStyle w:val="Hyperlink"/>
                <w:b/>
                <w:bCs/>
                <w:noProof/>
              </w:rPr>
              <w:t>2.5 Socio-Economic</w:t>
            </w:r>
            <w:r>
              <w:rPr>
                <w:noProof/>
                <w:webHidden/>
              </w:rPr>
              <w:tab/>
            </w:r>
            <w:r>
              <w:rPr>
                <w:noProof/>
                <w:webHidden/>
              </w:rPr>
              <w:fldChar w:fldCharType="begin"/>
            </w:r>
            <w:r>
              <w:rPr>
                <w:noProof/>
                <w:webHidden/>
              </w:rPr>
              <w:instrText xml:space="preserve"> PAGEREF _Toc229320715 \h </w:instrText>
            </w:r>
            <w:r>
              <w:rPr>
                <w:noProof/>
                <w:webHidden/>
              </w:rPr>
            </w:r>
            <w:r>
              <w:rPr>
                <w:noProof/>
                <w:webHidden/>
              </w:rPr>
              <w:fldChar w:fldCharType="separate"/>
            </w:r>
            <w:r>
              <w:rPr>
                <w:noProof/>
                <w:webHidden/>
              </w:rPr>
              <w:t>18</w:t>
            </w:r>
            <w:r>
              <w:rPr>
                <w:noProof/>
                <w:webHidden/>
              </w:rPr>
              <w:fldChar w:fldCharType="end"/>
            </w:r>
          </w:hyperlink>
        </w:p>
        <w:p w14:paraId="2EAD2509" w14:textId="3F29E2B0" w:rsidR="00F63EF2" w:rsidRDefault="00F63EF2">
          <w:pPr>
            <w:pStyle w:val="TOC3"/>
            <w:tabs>
              <w:tab w:val="right" w:leader="dot" w:pos="9926"/>
            </w:tabs>
            <w:rPr>
              <w:rFonts w:eastAsiaTheme="minorEastAsia"/>
              <w:noProof/>
              <w:sz w:val="24"/>
              <w:szCs w:val="24"/>
            </w:rPr>
          </w:pPr>
          <w:hyperlink w:anchor="_Toc229320716" w:history="1">
            <w:r w:rsidRPr="0079039A">
              <w:rPr>
                <w:rStyle w:val="Hyperlink"/>
                <w:b/>
                <w:bCs/>
                <w:noProof/>
              </w:rPr>
              <w:t>2.6 Behavioral</w:t>
            </w:r>
            <w:r>
              <w:rPr>
                <w:noProof/>
                <w:webHidden/>
              </w:rPr>
              <w:tab/>
            </w:r>
            <w:r>
              <w:rPr>
                <w:noProof/>
                <w:webHidden/>
              </w:rPr>
              <w:fldChar w:fldCharType="begin"/>
            </w:r>
            <w:r>
              <w:rPr>
                <w:noProof/>
                <w:webHidden/>
              </w:rPr>
              <w:instrText xml:space="preserve"> PAGEREF _Toc229320716 \h </w:instrText>
            </w:r>
            <w:r>
              <w:rPr>
                <w:noProof/>
                <w:webHidden/>
              </w:rPr>
            </w:r>
            <w:r>
              <w:rPr>
                <w:noProof/>
                <w:webHidden/>
              </w:rPr>
              <w:fldChar w:fldCharType="separate"/>
            </w:r>
            <w:r>
              <w:rPr>
                <w:noProof/>
                <w:webHidden/>
              </w:rPr>
              <w:t>18</w:t>
            </w:r>
            <w:r>
              <w:rPr>
                <w:noProof/>
                <w:webHidden/>
              </w:rPr>
              <w:fldChar w:fldCharType="end"/>
            </w:r>
          </w:hyperlink>
        </w:p>
        <w:p w14:paraId="43728D85" w14:textId="6E041ACC" w:rsidR="00F63EF2" w:rsidRDefault="00F63EF2">
          <w:pPr>
            <w:pStyle w:val="TOC3"/>
            <w:tabs>
              <w:tab w:val="right" w:leader="dot" w:pos="9926"/>
            </w:tabs>
            <w:rPr>
              <w:rFonts w:eastAsiaTheme="minorEastAsia"/>
              <w:noProof/>
              <w:sz w:val="24"/>
              <w:szCs w:val="24"/>
            </w:rPr>
          </w:pPr>
          <w:hyperlink w:anchor="_Toc229320717" w:history="1">
            <w:r w:rsidRPr="0079039A">
              <w:rPr>
                <w:rStyle w:val="Hyperlink"/>
                <w:b/>
                <w:bCs/>
                <w:noProof/>
              </w:rPr>
              <w:t>2.7 Infrastructure</w:t>
            </w:r>
            <w:r>
              <w:rPr>
                <w:noProof/>
                <w:webHidden/>
              </w:rPr>
              <w:tab/>
            </w:r>
            <w:r>
              <w:rPr>
                <w:noProof/>
                <w:webHidden/>
              </w:rPr>
              <w:fldChar w:fldCharType="begin"/>
            </w:r>
            <w:r>
              <w:rPr>
                <w:noProof/>
                <w:webHidden/>
              </w:rPr>
              <w:instrText xml:space="preserve"> PAGEREF _Toc229320717 \h </w:instrText>
            </w:r>
            <w:r>
              <w:rPr>
                <w:noProof/>
                <w:webHidden/>
              </w:rPr>
            </w:r>
            <w:r>
              <w:rPr>
                <w:noProof/>
                <w:webHidden/>
              </w:rPr>
              <w:fldChar w:fldCharType="separate"/>
            </w:r>
            <w:r>
              <w:rPr>
                <w:noProof/>
                <w:webHidden/>
              </w:rPr>
              <w:t>18</w:t>
            </w:r>
            <w:r>
              <w:rPr>
                <w:noProof/>
                <w:webHidden/>
              </w:rPr>
              <w:fldChar w:fldCharType="end"/>
            </w:r>
          </w:hyperlink>
        </w:p>
        <w:p w14:paraId="1CABEED7" w14:textId="3D7C7FD5" w:rsidR="00F63EF2" w:rsidRDefault="00F63EF2">
          <w:pPr>
            <w:pStyle w:val="TOC2"/>
            <w:tabs>
              <w:tab w:val="right" w:leader="dot" w:pos="9926"/>
            </w:tabs>
            <w:rPr>
              <w:rFonts w:eastAsiaTheme="minorEastAsia"/>
              <w:b w:val="0"/>
              <w:bCs w:val="0"/>
              <w:noProof/>
              <w:sz w:val="24"/>
              <w:szCs w:val="24"/>
            </w:rPr>
          </w:pPr>
          <w:hyperlink w:anchor="_Toc229320718" w:history="1">
            <w:r w:rsidRPr="0079039A">
              <w:rPr>
                <w:rStyle w:val="Hyperlink"/>
                <w:noProof/>
              </w:rPr>
              <w:t>3. Atomic Parameter Propagation &amp; Statistical Maturity</w:t>
            </w:r>
            <w:r>
              <w:rPr>
                <w:noProof/>
                <w:webHidden/>
              </w:rPr>
              <w:tab/>
            </w:r>
            <w:r>
              <w:rPr>
                <w:noProof/>
                <w:webHidden/>
              </w:rPr>
              <w:fldChar w:fldCharType="begin"/>
            </w:r>
            <w:r>
              <w:rPr>
                <w:noProof/>
                <w:webHidden/>
              </w:rPr>
              <w:instrText xml:space="preserve"> PAGEREF _Toc229320718 \h </w:instrText>
            </w:r>
            <w:r>
              <w:rPr>
                <w:noProof/>
                <w:webHidden/>
              </w:rPr>
            </w:r>
            <w:r>
              <w:rPr>
                <w:noProof/>
                <w:webHidden/>
              </w:rPr>
              <w:fldChar w:fldCharType="separate"/>
            </w:r>
            <w:r>
              <w:rPr>
                <w:noProof/>
                <w:webHidden/>
              </w:rPr>
              <w:t>18</w:t>
            </w:r>
            <w:r>
              <w:rPr>
                <w:noProof/>
                <w:webHidden/>
              </w:rPr>
              <w:fldChar w:fldCharType="end"/>
            </w:r>
          </w:hyperlink>
        </w:p>
        <w:p w14:paraId="0AF65CDD" w14:textId="1202538B" w:rsidR="00F63EF2" w:rsidRDefault="00F63EF2">
          <w:pPr>
            <w:pStyle w:val="TOC3"/>
            <w:tabs>
              <w:tab w:val="right" w:leader="dot" w:pos="9926"/>
            </w:tabs>
            <w:rPr>
              <w:rFonts w:eastAsiaTheme="minorEastAsia"/>
              <w:noProof/>
              <w:sz w:val="24"/>
              <w:szCs w:val="24"/>
            </w:rPr>
          </w:pPr>
          <w:hyperlink w:anchor="_Toc229320719" w:history="1">
            <w:r w:rsidRPr="0079039A">
              <w:rPr>
                <w:rStyle w:val="Hyperlink"/>
                <w:b/>
                <w:bCs/>
                <w:noProof/>
              </w:rPr>
              <w:t>3.1 Atomic Parameter Propagation</w:t>
            </w:r>
            <w:r>
              <w:rPr>
                <w:noProof/>
                <w:webHidden/>
              </w:rPr>
              <w:tab/>
            </w:r>
            <w:r>
              <w:rPr>
                <w:noProof/>
                <w:webHidden/>
              </w:rPr>
              <w:fldChar w:fldCharType="begin"/>
            </w:r>
            <w:r>
              <w:rPr>
                <w:noProof/>
                <w:webHidden/>
              </w:rPr>
              <w:instrText xml:space="preserve"> PAGEREF _Toc229320719 \h </w:instrText>
            </w:r>
            <w:r>
              <w:rPr>
                <w:noProof/>
                <w:webHidden/>
              </w:rPr>
            </w:r>
            <w:r>
              <w:rPr>
                <w:noProof/>
                <w:webHidden/>
              </w:rPr>
              <w:fldChar w:fldCharType="separate"/>
            </w:r>
            <w:r>
              <w:rPr>
                <w:noProof/>
                <w:webHidden/>
              </w:rPr>
              <w:t>18</w:t>
            </w:r>
            <w:r>
              <w:rPr>
                <w:noProof/>
                <w:webHidden/>
              </w:rPr>
              <w:fldChar w:fldCharType="end"/>
            </w:r>
          </w:hyperlink>
        </w:p>
        <w:p w14:paraId="28554AF3" w14:textId="3A2DC4FD" w:rsidR="00F63EF2" w:rsidRDefault="00F63EF2">
          <w:pPr>
            <w:pStyle w:val="TOC3"/>
            <w:tabs>
              <w:tab w:val="right" w:leader="dot" w:pos="9926"/>
            </w:tabs>
            <w:rPr>
              <w:rFonts w:eastAsiaTheme="minorEastAsia"/>
              <w:noProof/>
              <w:sz w:val="24"/>
              <w:szCs w:val="24"/>
            </w:rPr>
          </w:pPr>
          <w:hyperlink w:anchor="_Toc229320720" w:history="1">
            <w:r w:rsidRPr="0079039A">
              <w:rPr>
                <w:rStyle w:val="Hyperlink"/>
                <w:b/>
                <w:bCs/>
                <w:noProof/>
              </w:rPr>
              <w:t>3.2 Hierarchical Inheritance &amp; The 90-Home Threshold</w:t>
            </w:r>
            <w:r>
              <w:rPr>
                <w:noProof/>
                <w:webHidden/>
              </w:rPr>
              <w:tab/>
            </w:r>
            <w:r>
              <w:rPr>
                <w:noProof/>
                <w:webHidden/>
              </w:rPr>
              <w:fldChar w:fldCharType="begin"/>
            </w:r>
            <w:r>
              <w:rPr>
                <w:noProof/>
                <w:webHidden/>
              </w:rPr>
              <w:instrText xml:space="preserve"> PAGEREF _Toc229320720 \h </w:instrText>
            </w:r>
            <w:r>
              <w:rPr>
                <w:noProof/>
                <w:webHidden/>
              </w:rPr>
            </w:r>
            <w:r>
              <w:rPr>
                <w:noProof/>
                <w:webHidden/>
              </w:rPr>
              <w:fldChar w:fldCharType="separate"/>
            </w:r>
            <w:r>
              <w:rPr>
                <w:noProof/>
                <w:webHidden/>
              </w:rPr>
              <w:t>19</w:t>
            </w:r>
            <w:r>
              <w:rPr>
                <w:noProof/>
                <w:webHidden/>
              </w:rPr>
              <w:fldChar w:fldCharType="end"/>
            </w:r>
          </w:hyperlink>
        </w:p>
        <w:p w14:paraId="6B291CBF" w14:textId="39B38C79" w:rsidR="00F63EF2" w:rsidRDefault="00F63EF2">
          <w:pPr>
            <w:pStyle w:val="TOC2"/>
            <w:tabs>
              <w:tab w:val="right" w:leader="dot" w:pos="9926"/>
            </w:tabs>
            <w:rPr>
              <w:rFonts w:eastAsiaTheme="minorEastAsia"/>
              <w:b w:val="0"/>
              <w:bCs w:val="0"/>
              <w:noProof/>
              <w:sz w:val="24"/>
              <w:szCs w:val="24"/>
            </w:rPr>
          </w:pPr>
          <w:hyperlink w:anchor="_Toc229320721" w:history="1">
            <w:r w:rsidRPr="0079039A">
              <w:rPr>
                <w:rStyle w:val="Hyperlink"/>
                <w:noProof/>
              </w:rPr>
              <w:t>4. Characterization of Occupant Motivations &amp; Preferences</w:t>
            </w:r>
            <w:r>
              <w:rPr>
                <w:noProof/>
                <w:webHidden/>
              </w:rPr>
              <w:tab/>
            </w:r>
            <w:r>
              <w:rPr>
                <w:noProof/>
                <w:webHidden/>
              </w:rPr>
              <w:fldChar w:fldCharType="begin"/>
            </w:r>
            <w:r>
              <w:rPr>
                <w:noProof/>
                <w:webHidden/>
              </w:rPr>
              <w:instrText xml:space="preserve"> PAGEREF _Toc229320721 \h </w:instrText>
            </w:r>
            <w:r>
              <w:rPr>
                <w:noProof/>
                <w:webHidden/>
              </w:rPr>
            </w:r>
            <w:r>
              <w:rPr>
                <w:noProof/>
                <w:webHidden/>
              </w:rPr>
              <w:fldChar w:fldCharType="separate"/>
            </w:r>
            <w:r>
              <w:rPr>
                <w:noProof/>
                <w:webHidden/>
              </w:rPr>
              <w:t>19</w:t>
            </w:r>
            <w:r>
              <w:rPr>
                <w:noProof/>
                <w:webHidden/>
              </w:rPr>
              <w:fldChar w:fldCharType="end"/>
            </w:r>
          </w:hyperlink>
        </w:p>
        <w:p w14:paraId="2340CEBD" w14:textId="5F487BAD" w:rsidR="00F63EF2" w:rsidRDefault="00F63EF2">
          <w:pPr>
            <w:pStyle w:val="TOC3"/>
            <w:tabs>
              <w:tab w:val="right" w:leader="dot" w:pos="9926"/>
            </w:tabs>
            <w:rPr>
              <w:rFonts w:eastAsiaTheme="minorEastAsia"/>
              <w:noProof/>
              <w:sz w:val="24"/>
              <w:szCs w:val="24"/>
            </w:rPr>
          </w:pPr>
          <w:hyperlink w:anchor="_Toc229320722" w:history="1">
            <w:r w:rsidRPr="0079039A">
              <w:rPr>
                <w:rStyle w:val="Hyperlink"/>
                <w:b/>
                <w:bCs/>
                <w:noProof/>
              </w:rPr>
              <w:t>4.1 Age- and Male/Female-Specific Reference Modeling</w:t>
            </w:r>
            <w:r>
              <w:rPr>
                <w:noProof/>
                <w:webHidden/>
              </w:rPr>
              <w:tab/>
            </w:r>
            <w:r>
              <w:rPr>
                <w:noProof/>
                <w:webHidden/>
              </w:rPr>
              <w:fldChar w:fldCharType="begin"/>
            </w:r>
            <w:r>
              <w:rPr>
                <w:noProof/>
                <w:webHidden/>
              </w:rPr>
              <w:instrText xml:space="preserve"> PAGEREF _Toc229320722 \h </w:instrText>
            </w:r>
            <w:r>
              <w:rPr>
                <w:noProof/>
                <w:webHidden/>
              </w:rPr>
            </w:r>
            <w:r>
              <w:rPr>
                <w:noProof/>
                <w:webHidden/>
              </w:rPr>
              <w:fldChar w:fldCharType="separate"/>
            </w:r>
            <w:r>
              <w:rPr>
                <w:noProof/>
                <w:webHidden/>
              </w:rPr>
              <w:t>19</w:t>
            </w:r>
            <w:r>
              <w:rPr>
                <w:noProof/>
                <w:webHidden/>
              </w:rPr>
              <w:fldChar w:fldCharType="end"/>
            </w:r>
          </w:hyperlink>
        </w:p>
        <w:p w14:paraId="0847EC2D" w14:textId="53B45773" w:rsidR="00F63EF2" w:rsidRDefault="00F63EF2">
          <w:pPr>
            <w:pStyle w:val="TOC3"/>
            <w:tabs>
              <w:tab w:val="right" w:leader="dot" w:pos="9926"/>
            </w:tabs>
            <w:rPr>
              <w:rFonts w:eastAsiaTheme="minorEastAsia"/>
              <w:noProof/>
              <w:sz w:val="24"/>
              <w:szCs w:val="24"/>
            </w:rPr>
          </w:pPr>
          <w:hyperlink w:anchor="_Toc229320723" w:history="1">
            <w:r w:rsidRPr="0079039A">
              <w:rPr>
                <w:rStyle w:val="Hyperlink"/>
                <w:b/>
                <w:bCs/>
                <w:noProof/>
              </w:rPr>
              <w:t>4.2  IAQ &amp; Operational Economic Mapping</w:t>
            </w:r>
            <w:r>
              <w:rPr>
                <w:noProof/>
                <w:webHidden/>
              </w:rPr>
              <w:tab/>
            </w:r>
            <w:r>
              <w:rPr>
                <w:noProof/>
                <w:webHidden/>
              </w:rPr>
              <w:fldChar w:fldCharType="begin"/>
            </w:r>
            <w:r>
              <w:rPr>
                <w:noProof/>
                <w:webHidden/>
              </w:rPr>
              <w:instrText xml:space="preserve"> PAGEREF _Toc229320723 \h </w:instrText>
            </w:r>
            <w:r>
              <w:rPr>
                <w:noProof/>
                <w:webHidden/>
              </w:rPr>
            </w:r>
            <w:r>
              <w:rPr>
                <w:noProof/>
                <w:webHidden/>
              </w:rPr>
              <w:fldChar w:fldCharType="separate"/>
            </w:r>
            <w:r>
              <w:rPr>
                <w:noProof/>
                <w:webHidden/>
              </w:rPr>
              <w:t>19</w:t>
            </w:r>
            <w:r>
              <w:rPr>
                <w:noProof/>
                <w:webHidden/>
              </w:rPr>
              <w:fldChar w:fldCharType="end"/>
            </w:r>
          </w:hyperlink>
        </w:p>
        <w:p w14:paraId="4A3C20B6" w14:textId="347BD29F" w:rsidR="00F63EF2" w:rsidRDefault="00F63EF2">
          <w:pPr>
            <w:pStyle w:val="TOC2"/>
            <w:tabs>
              <w:tab w:val="right" w:leader="dot" w:pos="9926"/>
            </w:tabs>
            <w:rPr>
              <w:rFonts w:eastAsiaTheme="minorEastAsia"/>
              <w:b w:val="0"/>
              <w:bCs w:val="0"/>
              <w:noProof/>
              <w:sz w:val="24"/>
              <w:szCs w:val="24"/>
            </w:rPr>
          </w:pPr>
          <w:hyperlink w:anchor="_Toc229320724" w:history="1">
            <w:r w:rsidRPr="0079039A">
              <w:rPr>
                <w:rStyle w:val="Hyperlink"/>
                <w:noProof/>
              </w:rPr>
              <w:t>5. Integrity Layer (The "Physics Lie Detector")</w:t>
            </w:r>
            <w:r>
              <w:rPr>
                <w:noProof/>
                <w:webHidden/>
              </w:rPr>
              <w:tab/>
            </w:r>
            <w:r>
              <w:rPr>
                <w:noProof/>
                <w:webHidden/>
              </w:rPr>
              <w:fldChar w:fldCharType="begin"/>
            </w:r>
            <w:r>
              <w:rPr>
                <w:noProof/>
                <w:webHidden/>
              </w:rPr>
              <w:instrText xml:space="preserve"> PAGEREF _Toc229320724 \h </w:instrText>
            </w:r>
            <w:r>
              <w:rPr>
                <w:noProof/>
                <w:webHidden/>
              </w:rPr>
            </w:r>
            <w:r>
              <w:rPr>
                <w:noProof/>
                <w:webHidden/>
              </w:rPr>
              <w:fldChar w:fldCharType="separate"/>
            </w:r>
            <w:r>
              <w:rPr>
                <w:noProof/>
                <w:webHidden/>
              </w:rPr>
              <w:t>19</w:t>
            </w:r>
            <w:r>
              <w:rPr>
                <w:noProof/>
                <w:webHidden/>
              </w:rPr>
              <w:fldChar w:fldCharType="end"/>
            </w:r>
          </w:hyperlink>
        </w:p>
        <w:p w14:paraId="7FBFBFF4" w14:textId="32B20B4C" w:rsidR="00F63EF2" w:rsidRDefault="00F63EF2">
          <w:pPr>
            <w:pStyle w:val="TOC3"/>
            <w:tabs>
              <w:tab w:val="left" w:pos="960"/>
              <w:tab w:val="right" w:leader="dot" w:pos="9926"/>
            </w:tabs>
            <w:rPr>
              <w:rFonts w:eastAsiaTheme="minorEastAsia"/>
              <w:noProof/>
              <w:sz w:val="24"/>
              <w:szCs w:val="24"/>
            </w:rPr>
          </w:pPr>
          <w:hyperlink w:anchor="_Toc229320725"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5.1 Supplier/Installer Fraud &amp; Occupant Anti-Gaming</w:t>
            </w:r>
            <w:r w:rsidRPr="0079039A">
              <w:rPr>
                <w:rStyle w:val="Hyperlink"/>
                <w:noProof/>
              </w:rPr>
              <w:t>: Identifying sensor manipulation or hard-wired "jumper" bypasses.</w:t>
            </w:r>
            <w:r>
              <w:rPr>
                <w:noProof/>
                <w:webHidden/>
              </w:rPr>
              <w:tab/>
            </w:r>
            <w:r>
              <w:rPr>
                <w:noProof/>
                <w:webHidden/>
              </w:rPr>
              <w:fldChar w:fldCharType="begin"/>
            </w:r>
            <w:r>
              <w:rPr>
                <w:noProof/>
                <w:webHidden/>
              </w:rPr>
              <w:instrText xml:space="preserve"> PAGEREF _Toc229320725 \h </w:instrText>
            </w:r>
            <w:r>
              <w:rPr>
                <w:noProof/>
                <w:webHidden/>
              </w:rPr>
            </w:r>
            <w:r>
              <w:rPr>
                <w:noProof/>
                <w:webHidden/>
              </w:rPr>
              <w:fldChar w:fldCharType="separate"/>
            </w:r>
            <w:r>
              <w:rPr>
                <w:noProof/>
                <w:webHidden/>
              </w:rPr>
              <w:t>19</w:t>
            </w:r>
            <w:r>
              <w:rPr>
                <w:noProof/>
                <w:webHidden/>
              </w:rPr>
              <w:fldChar w:fldCharType="end"/>
            </w:r>
          </w:hyperlink>
        </w:p>
        <w:p w14:paraId="7A33EBAC" w14:textId="7DA7FEB1" w:rsidR="00F63EF2" w:rsidRDefault="00F63EF2">
          <w:pPr>
            <w:pStyle w:val="TOC2"/>
            <w:tabs>
              <w:tab w:val="right" w:leader="dot" w:pos="9926"/>
            </w:tabs>
            <w:rPr>
              <w:rFonts w:eastAsiaTheme="minorEastAsia"/>
              <w:b w:val="0"/>
              <w:bCs w:val="0"/>
              <w:noProof/>
              <w:sz w:val="24"/>
              <w:szCs w:val="24"/>
            </w:rPr>
          </w:pPr>
          <w:hyperlink w:anchor="_Toc229320726" w:history="1">
            <w:r w:rsidRPr="0079039A">
              <w:rPr>
                <w:rStyle w:val="Hyperlink"/>
                <w:noProof/>
              </w:rPr>
              <w:t>6. Institutional Clearinghouse &amp; Information Products</w:t>
            </w:r>
            <w:r>
              <w:rPr>
                <w:noProof/>
                <w:webHidden/>
              </w:rPr>
              <w:tab/>
            </w:r>
            <w:r>
              <w:rPr>
                <w:noProof/>
                <w:webHidden/>
              </w:rPr>
              <w:fldChar w:fldCharType="begin"/>
            </w:r>
            <w:r>
              <w:rPr>
                <w:noProof/>
                <w:webHidden/>
              </w:rPr>
              <w:instrText xml:space="preserve"> PAGEREF _Toc229320726 \h </w:instrText>
            </w:r>
            <w:r>
              <w:rPr>
                <w:noProof/>
                <w:webHidden/>
              </w:rPr>
            </w:r>
            <w:r>
              <w:rPr>
                <w:noProof/>
                <w:webHidden/>
              </w:rPr>
              <w:fldChar w:fldCharType="separate"/>
            </w:r>
            <w:r>
              <w:rPr>
                <w:noProof/>
                <w:webHidden/>
              </w:rPr>
              <w:t>20</w:t>
            </w:r>
            <w:r>
              <w:rPr>
                <w:noProof/>
                <w:webHidden/>
              </w:rPr>
              <w:fldChar w:fldCharType="end"/>
            </w:r>
          </w:hyperlink>
        </w:p>
        <w:p w14:paraId="34E5253D" w14:textId="075F0787" w:rsidR="00F63EF2" w:rsidRDefault="00F63EF2">
          <w:pPr>
            <w:pStyle w:val="TOC3"/>
            <w:tabs>
              <w:tab w:val="right" w:leader="dot" w:pos="9926"/>
            </w:tabs>
            <w:rPr>
              <w:rFonts w:eastAsiaTheme="minorEastAsia"/>
              <w:noProof/>
              <w:sz w:val="24"/>
              <w:szCs w:val="24"/>
            </w:rPr>
          </w:pPr>
          <w:hyperlink w:anchor="_Toc229320727" w:history="1">
            <w:r w:rsidRPr="0079039A">
              <w:rPr>
                <w:rStyle w:val="Hyperlink"/>
                <w:b/>
                <w:bCs/>
                <w:noProof/>
              </w:rPr>
              <w:t>6.1 Horizontal Slicing &amp; Market Products</w:t>
            </w:r>
            <w:r>
              <w:rPr>
                <w:noProof/>
                <w:webHidden/>
              </w:rPr>
              <w:tab/>
            </w:r>
            <w:r>
              <w:rPr>
                <w:noProof/>
                <w:webHidden/>
              </w:rPr>
              <w:fldChar w:fldCharType="begin"/>
            </w:r>
            <w:r>
              <w:rPr>
                <w:noProof/>
                <w:webHidden/>
              </w:rPr>
              <w:instrText xml:space="preserve"> PAGEREF _Toc229320727 \h </w:instrText>
            </w:r>
            <w:r>
              <w:rPr>
                <w:noProof/>
                <w:webHidden/>
              </w:rPr>
            </w:r>
            <w:r>
              <w:rPr>
                <w:noProof/>
                <w:webHidden/>
              </w:rPr>
              <w:fldChar w:fldCharType="separate"/>
            </w:r>
            <w:r>
              <w:rPr>
                <w:noProof/>
                <w:webHidden/>
              </w:rPr>
              <w:t>20</w:t>
            </w:r>
            <w:r>
              <w:rPr>
                <w:noProof/>
                <w:webHidden/>
              </w:rPr>
              <w:fldChar w:fldCharType="end"/>
            </w:r>
          </w:hyperlink>
        </w:p>
        <w:p w14:paraId="55D26376" w14:textId="05A5844F" w:rsidR="00F63EF2" w:rsidRDefault="00F63EF2">
          <w:pPr>
            <w:pStyle w:val="TOC1"/>
            <w:tabs>
              <w:tab w:val="right" w:leader="dot" w:pos="9926"/>
            </w:tabs>
            <w:rPr>
              <w:rFonts w:eastAsiaTheme="minorEastAsia"/>
              <w:b w:val="0"/>
              <w:bCs w:val="0"/>
              <w:i w:val="0"/>
              <w:iCs w:val="0"/>
              <w:noProof/>
            </w:rPr>
          </w:pPr>
          <w:hyperlink w:anchor="_Toc229320728" w:history="1">
            <w:r w:rsidRPr="0079039A">
              <w:rPr>
                <w:rStyle w:val="Hyperlink"/>
                <w:noProof/>
              </w:rPr>
              <w:t>The AIVU Clearinghouse</w:t>
            </w:r>
            <w:r>
              <w:rPr>
                <w:noProof/>
                <w:webHidden/>
              </w:rPr>
              <w:tab/>
            </w:r>
            <w:r>
              <w:rPr>
                <w:noProof/>
                <w:webHidden/>
              </w:rPr>
              <w:fldChar w:fldCharType="begin"/>
            </w:r>
            <w:r>
              <w:rPr>
                <w:noProof/>
                <w:webHidden/>
              </w:rPr>
              <w:instrText xml:space="preserve"> PAGEREF _Toc229320728 \h </w:instrText>
            </w:r>
            <w:r>
              <w:rPr>
                <w:noProof/>
                <w:webHidden/>
              </w:rPr>
            </w:r>
            <w:r>
              <w:rPr>
                <w:noProof/>
                <w:webHidden/>
              </w:rPr>
              <w:fldChar w:fldCharType="separate"/>
            </w:r>
            <w:r>
              <w:rPr>
                <w:noProof/>
                <w:webHidden/>
              </w:rPr>
              <w:t>20</w:t>
            </w:r>
            <w:r>
              <w:rPr>
                <w:noProof/>
                <w:webHidden/>
              </w:rPr>
              <w:fldChar w:fldCharType="end"/>
            </w:r>
          </w:hyperlink>
        </w:p>
        <w:p w14:paraId="033E7898" w14:textId="35A2ED5B" w:rsidR="00F63EF2" w:rsidRDefault="00F63EF2">
          <w:pPr>
            <w:pStyle w:val="TOC2"/>
            <w:tabs>
              <w:tab w:val="right" w:leader="dot" w:pos="9926"/>
            </w:tabs>
            <w:rPr>
              <w:rFonts w:eastAsiaTheme="minorEastAsia"/>
              <w:b w:val="0"/>
              <w:bCs w:val="0"/>
              <w:noProof/>
              <w:sz w:val="24"/>
              <w:szCs w:val="24"/>
            </w:rPr>
          </w:pPr>
          <w:hyperlink w:anchor="_Toc229320729" w:history="1">
            <w:r w:rsidRPr="0079039A">
              <w:rPr>
                <w:rStyle w:val="Hyperlink"/>
                <w:noProof/>
              </w:rPr>
              <w:t>0.  The Neutral Third-Party Mandate</w:t>
            </w:r>
            <w:r>
              <w:rPr>
                <w:noProof/>
                <w:webHidden/>
              </w:rPr>
              <w:tab/>
            </w:r>
            <w:r>
              <w:rPr>
                <w:noProof/>
                <w:webHidden/>
              </w:rPr>
              <w:fldChar w:fldCharType="begin"/>
            </w:r>
            <w:r>
              <w:rPr>
                <w:noProof/>
                <w:webHidden/>
              </w:rPr>
              <w:instrText xml:space="preserve"> PAGEREF _Toc229320729 \h </w:instrText>
            </w:r>
            <w:r>
              <w:rPr>
                <w:noProof/>
                <w:webHidden/>
              </w:rPr>
            </w:r>
            <w:r>
              <w:rPr>
                <w:noProof/>
                <w:webHidden/>
              </w:rPr>
              <w:fldChar w:fldCharType="separate"/>
            </w:r>
            <w:r>
              <w:rPr>
                <w:noProof/>
                <w:webHidden/>
              </w:rPr>
              <w:t>20</w:t>
            </w:r>
            <w:r>
              <w:rPr>
                <w:noProof/>
                <w:webHidden/>
              </w:rPr>
              <w:fldChar w:fldCharType="end"/>
            </w:r>
          </w:hyperlink>
        </w:p>
        <w:p w14:paraId="0EA500B7" w14:textId="19E7D811" w:rsidR="00F63EF2" w:rsidRDefault="00F63EF2">
          <w:pPr>
            <w:pStyle w:val="TOC3"/>
            <w:tabs>
              <w:tab w:val="left" w:pos="960"/>
              <w:tab w:val="right" w:leader="dot" w:pos="9926"/>
            </w:tabs>
            <w:rPr>
              <w:rFonts w:eastAsiaTheme="minorEastAsia"/>
              <w:noProof/>
              <w:sz w:val="24"/>
              <w:szCs w:val="24"/>
            </w:rPr>
          </w:pPr>
          <w:hyperlink w:anchor="_Toc229320730" w:history="1">
            <w:r w:rsidRPr="0079039A">
              <w:rPr>
                <w:rStyle w:val="Hyperlink"/>
                <w:rFonts w:ascii="Symbol" w:hAnsi="Symbol" w:cs="Symbol"/>
                <w:bCs/>
                <w:noProof/>
              </w:rPr>
              <w:t></w:t>
            </w:r>
            <w:r>
              <w:rPr>
                <w:rFonts w:eastAsiaTheme="minorEastAsia"/>
                <w:noProof/>
                <w:sz w:val="24"/>
                <w:szCs w:val="24"/>
              </w:rPr>
              <w:tab/>
            </w:r>
            <w:r w:rsidRPr="0079039A">
              <w:rPr>
                <w:rStyle w:val="Hyperlink"/>
                <w:b/>
                <w:bCs/>
                <w:noProof/>
              </w:rPr>
              <w:t>0.4 The Commercial Matrix: Segmentation &amp; Lifecycle Phasing</w:t>
            </w:r>
            <w:r>
              <w:rPr>
                <w:noProof/>
                <w:webHidden/>
              </w:rPr>
              <w:tab/>
            </w:r>
            <w:r>
              <w:rPr>
                <w:noProof/>
                <w:webHidden/>
              </w:rPr>
              <w:fldChar w:fldCharType="begin"/>
            </w:r>
            <w:r>
              <w:rPr>
                <w:noProof/>
                <w:webHidden/>
              </w:rPr>
              <w:instrText xml:space="preserve"> PAGEREF _Toc229320730 \h </w:instrText>
            </w:r>
            <w:r>
              <w:rPr>
                <w:noProof/>
                <w:webHidden/>
              </w:rPr>
            </w:r>
            <w:r>
              <w:rPr>
                <w:noProof/>
                <w:webHidden/>
              </w:rPr>
              <w:fldChar w:fldCharType="separate"/>
            </w:r>
            <w:r>
              <w:rPr>
                <w:noProof/>
                <w:webHidden/>
              </w:rPr>
              <w:t>20</w:t>
            </w:r>
            <w:r>
              <w:rPr>
                <w:noProof/>
                <w:webHidden/>
              </w:rPr>
              <w:fldChar w:fldCharType="end"/>
            </w:r>
          </w:hyperlink>
        </w:p>
        <w:p w14:paraId="6B192760" w14:textId="5F505365" w:rsidR="00F63EF2" w:rsidRDefault="00F63EF2">
          <w:pPr>
            <w:pStyle w:val="TOC2"/>
            <w:tabs>
              <w:tab w:val="right" w:leader="dot" w:pos="9926"/>
            </w:tabs>
            <w:rPr>
              <w:rFonts w:eastAsiaTheme="minorEastAsia"/>
              <w:b w:val="0"/>
              <w:bCs w:val="0"/>
              <w:noProof/>
              <w:sz w:val="24"/>
              <w:szCs w:val="24"/>
            </w:rPr>
          </w:pPr>
          <w:hyperlink w:anchor="_Toc229320731" w:history="1">
            <w:r w:rsidRPr="0079039A">
              <w:rPr>
                <w:rStyle w:val="Hyperlink"/>
                <w:noProof/>
              </w:rPr>
              <w:t>1. The Product Refinery</w:t>
            </w:r>
            <w:r>
              <w:rPr>
                <w:noProof/>
                <w:webHidden/>
              </w:rPr>
              <w:tab/>
            </w:r>
            <w:r>
              <w:rPr>
                <w:noProof/>
                <w:webHidden/>
              </w:rPr>
              <w:fldChar w:fldCharType="begin"/>
            </w:r>
            <w:r>
              <w:rPr>
                <w:noProof/>
                <w:webHidden/>
              </w:rPr>
              <w:instrText xml:space="preserve"> PAGEREF _Toc229320731 \h </w:instrText>
            </w:r>
            <w:r>
              <w:rPr>
                <w:noProof/>
                <w:webHidden/>
              </w:rPr>
            </w:r>
            <w:r>
              <w:rPr>
                <w:noProof/>
                <w:webHidden/>
              </w:rPr>
              <w:fldChar w:fldCharType="separate"/>
            </w:r>
            <w:r>
              <w:rPr>
                <w:noProof/>
                <w:webHidden/>
              </w:rPr>
              <w:t>21</w:t>
            </w:r>
            <w:r>
              <w:rPr>
                <w:noProof/>
                <w:webHidden/>
              </w:rPr>
              <w:fldChar w:fldCharType="end"/>
            </w:r>
          </w:hyperlink>
        </w:p>
        <w:p w14:paraId="3F0875E0" w14:textId="2EAC8BD1" w:rsidR="00F63EF2" w:rsidRDefault="00F63EF2">
          <w:pPr>
            <w:pStyle w:val="TOC3"/>
            <w:tabs>
              <w:tab w:val="right" w:leader="dot" w:pos="9926"/>
            </w:tabs>
            <w:rPr>
              <w:rFonts w:eastAsiaTheme="minorEastAsia"/>
              <w:noProof/>
              <w:sz w:val="24"/>
              <w:szCs w:val="24"/>
            </w:rPr>
          </w:pPr>
          <w:hyperlink w:anchor="_Toc229320732" w:history="1">
            <w:r w:rsidRPr="0079039A">
              <w:rPr>
                <w:rStyle w:val="Hyperlink"/>
                <w:b/>
                <w:bCs/>
                <w:noProof/>
              </w:rPr>
              <w:t>1.3  Security &amp; The Triangulation Defense</w:t>
            </w:r>
            <w:r>
              <w:rPr>
                <w:noProof/>
                <w:webHidden/>
              </w:rPr>
              <w:tab/>
            </w:r>
            <w:r>
              <w:rPr>
                <w:noProof/>
                <w:webHidden/>
              </w:rPr>
              <w:fldChar w:fldCharType="begin"/>
            </w:r>
            <w:r>
              <w:rPr>
                <w:noProof/>
                <w:webHidden/>
              </w:rPr>
              <w:instrText xml:space="preserve"> PAGEREF _Toc229320732 \h </w:instrText>
            </w:r>
            <w:r>
              <w:rPr>
                <w:noProof/>
                <w:webHidden/>
              </w:rPr>
            </w:r>
            <w:r>
              <w:rPr>
                <w:noProof/>
                <w:webHidden/>
              </w:rPr>
              <w:fldChar w:fldCharType="separate"/>
            </w:r>
            <w:r>
              <w:rPr>
                <w:noProof/>
                <w:webHidden/>
              </w:rPr>
              <w:t>25</w:t>
            </w:r>
            <w:r>
              <w:rPr>
                <w:noProof/>
                <w:webHidden/>
              </w:rPr>
              <w:fldChar w:fldCharType="end"/>
            </w:r>
          </w:hyperlink>
        </w:p>
        <w:p w14:paraId="429EF0B6" w14:textId="44D57CB4" w:rsidR="00F63EF2" w:rsidRDefault="00F63EF2">
          <w:pPr>
            <w:pStyle w:val="TOC2"/>
            <w:tabs>
              <w:tab w:val="right" w:leader="dot" w:pos="9926"/>
            </w:tabs>
            <w:rPr>
              <w:rFonts w:eastAsiaTheme="minorEastAsia"/>
              <w:b w:val="0"/>
              <w:bCs w:val="0"/>
              <w:noProof/>
              <w:sz w:val="24"/>
              <w:szCs w:val="24"/>
            </w:rPr>
          </w:pPr>
          <w:hyperlink w:anchor="_Toc229320733" w:history="1">
            <w:r w:rsidRPr="0079039A">
              <w:rPr>
                <w:rStyle w:val="Hyperlink"/>
                <w:noProof/>
              </w:rPr>
              <w:t>2. Multi-Segment Institutional Exchange</w:t>
            </w:r>
            <w:r>
              <w:rPr>
                <w:noProof/>
                <w:webHidden/>
              </w:rPr>
              <w:tab/>
            </w:r>
            <w:r>
              <w:rPr>
                <w:noProof/>
                <w:webHidden/>
              </w:rPr>
              <w:fldChar w:fldCharType="begin"/>
            </w:r>
            <w:r>
              <w:rPr>
                <w:noProof/>
                <w:webHidden/>
              </w:rPr>
              <w:instrText xml:space="preserve"> PAGEREF _Toc229320733 \h </w:instrText>
            </w:r>
            <w:r>
              <w:rPr>
                <w:noProof/>
                <w:webHidden/>
              </w:rPr>
            </w:r>
            <w:r>
              <w:rPr>
                <w:noProof/>
                <w:webHidden/>
              </w:rPr>
              <w:fldChar w:fldCharType="separate"/>
            </w:r>
            <w:r>
              <w:rPr>
                <w:noProof/>
                <w:webHidden/>
              </w:rPr>
              <w:t>26</w:t>
            </w:r>
            <w:r>
              <w:rPr>
                <w:noProof/>
                <w:webHidden/>
              </w:rPr>
              <w:fldChar w:fldCharType="end"/>
            </w:r>
          </w:hyperlink>
        </w:p>
        <w:p w14:paraId="668543E4" w14:textId="0EE9E205" w:rsidR="00F63EF2" w:rsidRDefault="00F63EF2">
          <w:pPr>
            <w:pStyle w:val="TOC3"/>
            <w:tabs>
              <w:tab w:val="right" w:leader="dot" w:pos="9926"/>
            </w:tabs>
            <w:rPr>
              <w:rFonts w:eastAsiaTheme="minorEastAsia"/>
              <w:noProof/>
              <w:sz w:val="24"/>
              <w:szCs w:val="24"/>
            </w:rPr>
          </w:pPr>
          <w:hyperlink w:anchor="_Toc229320734" w:history="1">
            <w:r w:rsidRPr="0079039A">
              <w:rPr>
                <w:rStyle w:val="Hyperlink"/>
                <w:b/>
                <w:bCs/>
                <w:noProof/>
              </w:rPr>
              <w:t>2.1 Market Segment 4: Manufacturing &amp; Supply (OEMs)</w:t>
            </w:r>
            <w:r>
              <w:rPr>
                <w:noProof/>
                <w:webHidden/>
              </w:rPr>
              <w:tab/>
            </w:r>
            <w:r>
              <w:rPr>
                <w:noProof/>
                <w:webHidden/>
              </w:rPr>
              <w:fldChar w:fldCharType="begin"/>
            </w:r>
            <w:r>
              <w:rPr>
                <w:noProof/>
                <w:webHidden/>
              </w:rPr>
              <w:instrText xml:space="preserve"> PAGEREF _Toc229320734 \h </w:instrText>
            </w:r>
            <w:r>
              <w:rPr>
                <w:noProof/>
                <w:webHidden/>
              </w:rPr>
            </w:r>
            <w:r>
              <w:rPr>
                <w:noProof/>
                <w:webHidden/>
              </w:rPr>
              <w:fldChar w:fldCharType="separate"/>
            </w:r>
            <w:r>
              <w:rPr>
                <w:noProof/>
                <w:webHidden/>
              </w:rPr>
              <w:t>26</w:t>
            </w:r>
            <w:r>
              <w:rPr>
                <w:noProof/>
                <w:webHidden/>
              </w:rPr>
              <w:fldChar w:fldCharType="end"/>
            </w:r>
          </w:hyperlink>
        </w:p>
        <w:p w14:paraId="218A7080" w14:textId="710A1F91" w:rsidR="00F63EF2" w:rsidRDefault="00F63EF2">
          <w:pPr>
            <w:pStyle w:val="TOC3"/>
            <w:tabs>
              <w:tab w:val="right" w:leader="dot" w:pos="9926"/>
            </w:tabs>
            <w:rPr>
              <w:rFonts w:eastAsiaTheme="minorEastAsia"/>
              <w:noProof/>
              <w:sz w:val="24"/>
              <w:szCs w:val="24"/>
            </w:rPr>
          </w:pPr>
          <w:hyperlink w:anchor="_Toc229320735" w:history="1">
            <w:r w:rsidRPr="0079039A">
              <w:rPr>
                <w:rStyle w:val="Hyperlink"/>
                <w:b/>
                <w:bCs/>
                <w:noProof/>
              </w:rPr>
              <w:t>2.2 Market Segment 5: Professional Services &amp; Trades</w:t>
            </w:r>
            <w:r>
              <w:rPr>
                <w:noProof/>
                <w:webHidden/>
              </w:rPr>
              <w:tab/>
            </w:r>
            <w:r>
              <w:rPr>
                <w:noProof/>
                <w:webHidden/>
              </w:rPr>
              <w:fldChar w:fldCharType="begin"/>
            </w:r>
            <w:r>
              <w:rPr>
                <w:noProof/>
                <w:webHidden/>
              </w:rPr>
              <w:instrText xml:space="preserve"> PAGEREF _Toc229320735 \h </w:instrText>
            </w:r>
            <w:r>
              <w:rPr>
                <w:noProof/>
                <w:webHidden/>
              </w:rPr>
            </w:r>
            <w:r>
              <w:rPr>
                <w:noProof/>
                <w:webHidden/>
              </w:rPr>
              <w:fldChar w:fldCharType="separate"/>
            </w:r>
            <w:r>
              <w:rPr>
                <w:noProof/>
                <w:webHidden/>
              </w:rPr>
              <w:t>27</w:t>
            </w:r>
            <w:r>
              <w:rPr>
                <w:noProof/>
                <w:webHidden/>
              </w:rPr>
              <w:fldChar w:fldCharType="end"/>
            </w:r>
          </w:hyperlink>
        </w:p>
        <w:p w14:paraId="570A9CD7" w14:textId="76355566" w:rsidR="00F63EF2" w:rsidRDefault="00F63EF2">
          <w:pPr>
            <w:pStyle w:val="TOC3"/>
            <w:tabs>
              <w:tab w:val="right" w:leader="dot" w:pos="9926"/>
            </w:tabs>
            <w:rPr>
              <w:rFonts w:eastAsiaTheme="minorEastAsia"/>
              <w:noProof/>
              <w:sz w:val="24"/>
              <w:szCs w:val="24"/>
            </w:rPr>
          </w:pPr>
          <w:hyperlink w:anchor="_Toc229320736" w:history="1">
            <w:r w:rsidRPr="0079039A">
              <w:rPr>
                <w:rStyle w:val="Hyperlink"/>
                <w:b/>
                <w:bCs/>
                <w:noProof/>
              </w:rPr>
              <w:t>2.3 Market Segment 1: Finance &amp; Capital Markets</w:t>
            </w:r>
            <w:r>
              <w:rPr>
                <w:noProof/>
                <w:webHidden/>
              </w:rPr>
              <w:tab/>
            </w:r>
            <w:r>
              <w:rPr>
                <w:noProof/>
                <w:webHidden/>
              </w:rPr>
              <w:fldChar w:fldCharType="begin"/>
            </w:r>
            <w:r>
              <w:rPr>
                <w:noProof/>
                <w:webHidden/>
              </w:rPr>
              <w:instrText xml:space="preserve"> PAGEREF _Toc229320736 \h </w:instrText>
            </w:r>
            <w:r>
              <w:rPr>
                <w:noProof/>
                <w:webHidden/>
              </w:rPr>
            </w:r>
            <w:r>
              <w:rPr>
                <w:noProof/>
                <w:webHidden/>
              </w:rPr>
              <w:fldChar w:fldCharType="separate"/>
            </w:r>
            <w:r>
              <w:rPr>
                <w:noProof/>
                <w:webHidden/>
              </w:rPr>
              <w:t>28</w:t>
            </w:r>
            <w:r>
              <w:rPr>
                <w:noProof/>
                <w:webHidden/>
              </w:rPr>
              <w:fldChar w:fldCharType="end"/>
            </w:r>
          </w:hyperlink>
        </w:p>
        <w:p w14:paraId="4D2FC2BD" w14:textId="42D3CC23" w:rsidR="00F63EF2" w:rsidRDefault="00F63EF2">
          <w:pPr>
            <w:pStyle w:val="TOC3"/>
            <w:tabs>
              <w:tab w:val="right" w:leader="dot" w:pos="9926"/>
            </w:tabs>
            <w:rPr>
              <w:rFonts w:eastAsiaTheme="minorEastAsia"/>
              <w:noProof/>
              <w:sz w:val="24"/>
              <w:szCs w:val="24"/>
            </w:rPr>
          </w:pPr>
          <w:hyperlink w:anchor="_Toc229320737" w:history="1">
            <w:r w:rsidRPr="0079039A">
              <w:rPr>
                <w:rStyle w:val="Hyperlink"/>
                <w:b/>
                <w:bCs/>
                <w:noProof/>
              </w:rPr>
              <w:t>2.4 Market Segment 2: Insurance, Actuarial &amp; Legal</w:t>
            </w:r>
            <w:r>
              <w:rPr>
                <w:noProof/>
                <w:webHidden/>
              </w:rPr>
              <w:tab/>
            </w:r>
            <w:r>
              <w:rPr>
                <w:noProof/>
                <w:webHidden/>
              </w:rPr>
              <w:fldChar w:fldCharType="begin"/>
            </w:r>
            <w:r>
              <w:rPr>
                <w:noProof/>
                <w:webHidden/>
              </w:rPr>
              <w:instrText xml:space="preserve"> PAGEREF _Toc229320737 \h </w:instrText>
            </w:r>
            <w:r>
              <w:rPr>
                <w:noProof/>
                <w:webHidden/>
              </w:rPr>
            </w:r>
            <w:r>
              <w:rPr>
                <w:noProof/>
                <w:webHidden/>
              </w:rPr>
              <w:fldChar w:fldCharType="separate"/>
            </w:r>
            <w:r>
              <w:rPr>
                <w:noProof/>
                <w:webHidden/>
              </w:rPr>
              <w:t>29</w:t>
            </w:r>
            <w:r>
              <w:rPr>
                <w:noProof/>
                <w:webHidden/>
              </w:rPr>
              <w:fldChar w:fldCharType="end"/>
            </w:r>
          </w:hyperlink>
        </w:p>
        <w:p w14:paraId="3C4EB64F" w14:textId="2CA460CF" w:rsidR="00F63EF2" w:rsidRDefault="00F63EF2">
          <w:pPr>
            <w:pStyle w:val="TOC3"/>
            <w:tabs>
              <w:tab w:val="right" w:leader="dot" w:pos="9926"/>
            </w:tabs>
            <w:rPr>
              <w:rFonts w:eastAsiaTheme="minorEastAsia"/>
              <w:noProof/>
              <w:sz w:val="24"/>
              <w:szCs w:val="24"/>
            </w:rPr>
          </w:pPr>
          <w:hyperlink w:anchor="_Toc229320738" w:history="1">
            <w:r w:rsidRPr="0079039A">
              <w:rPr>
                <w:rStyle w:val="Hyperlink"/>
                <w:b/>
                <w:bCs/>
                <w:noProof/>
              </w:rPr>
              <w:t>2.5 Market Segment 3: Real Estate Development (Builders)</w:t>
            </w:r>
            <w:r>
              <w:rPr>
                <w:noProof/>
                <w:webHidden/>
              </w:rPr>
              <w:tab/>
            </w:r>
            <w:r>
              <w:rPr>
                <w:noProof/>
                <w:webHidden/>
              </w:rPr>
              <w:fldChar w:fldCharType="begin"/>
            </w:r>
            <w:r>
              <w:rPr>
                <w:noProof/>
                <w:webHidden/>
              </w:rPr>
              <w:instrText xml:space="preserve"> PAGEREF _Toc229320738 \h </w:instrText>
            </w:r>
            <w:r>
              <w:rPr>
                <w:noProof/>
                <w:webHidden/>
              </w:rPr>
            </w:r>
            <w:r>
              <w:rPr>
                <w:noProof/>
                <w:webHidden/>
              </w:rPr>
              <w:fldChar w:fldCharType="separate"/>
            </w:r>
            <w:r>
              <w:rPr>
                <w:noProof/>
                <w:webHidden/>
              </w:rPr>
              <w:t>29</w:t>
            </w:r>
            <w:r>
              <w:rPr>
                <w:noProof/>
                <w:webHidden/>
              </w:rPr>
              <w:fldChar w:fldCharType="end"/>
            </w:r>
          </w:hyperlink>
        </w:p>
        <w:p w14:paraId="32B4D2E3" w14:textId="01531EFD" w:rsidR="00F63EF2" w:rsidRDefault="00F63EF2">
          <w:pPr>
            <w:pStyle w:val="TOC3"/>
            <w:tabs>
              <w:tab w:val="right" w:leader="dot" w:pos="9926"/>
            </w:tabs>
            <w:rPr>
              <w:rFonts w:eastAsiaTheme="minorEastAsia"/>
              <w:noProof/>
              <w:sz w:val="24"/>
              <w:szCs w:val="24"/>
            </w:rPr>
          </w:pPr>
          <w:hyperlink w:anchor="_Toc229320739" w:history="1">
            <w:r w:rsidRPr="0079039A">
              <w:rPr>
                <w:rStyle w:val="Hyperlink"/>
                <w:b/>
                <w:bCs/>
                <w:noProof/>
              </w:rPr>
              <w:t>2.6 Market Segment 6: Regulatory Agencies &amp; Standards Organizations</w:t>
            </w:r>
            <w:r>
              <w:rPr>
                <w:noProof/>
                <w:webHidden/>
              </w:rPr>
              <w:tab/>
            </w:r>
            <w:r>
              <w:rPr>
                <w:noProof/>
                <w:webHidden/>
              </w:rPr>
              <w:fldChar w:fldCharType="begin"/>
            </w:r>
            <w:r>
              <w:rPr>
                <w:noProof/>
                <w:webHidden/>
              </w:rPr>
              <w:instrText xml:space="preserve"> PAGEREF _Toc229320739 \h </w:instrText>
            </w:r>
            <w:r>
              <w:rPr>
                <w:noProof/>
                <w:webHidden/>
              </w:rPr>
            </w:r>
            <w:r>
              <w:rPr>
                <w:noProof/>
                <w:webHidden/>
              </w:rPr>
              <w:fldChar w:fldCharType="separate"/>
            </w:r>
            <w:r>
              <w:rPr>
                <w:noProof/>
                <w:webHidden/>
              </w:rPr>
              <w:t>30</w:t>
            </w:r>
            <w:r>
              <w:rPr>
                <w:noProof/>
                <w:webHidden/>
              </w:rPr>
              <w:fldChar w:fldCharType="end"/>
            </w:r>
          </w:hyperlink>
        </w:p>
        <w:p w14:paraId="5E0B0E4D" w14:textId="45F963E2" w:rsidR="00F63EF2" w:rsidRDefault="00F63EF2">
          <w:pPr>
            <w:pStyle w:val="TOC2"/>
            <w:tabs>
              <w:tab w:val="right" w:leader="dot" w:pos="9926"/>
            </w:tabs>
            <w:rPr>
              <w:rFonts w:eastAsiaTheme="minorEastAsia"/>
              <w:b w:val="0"/>
              <w:bCs w:val="0"/>
              <w:noProof/>
              <w:sz w:val="24"/>
              <w:szCs w:val="24"/>
            </w:rPr>
          </w:pPr>
          <w:hyperlink w:anchor="_Toc229320740" w:history="1">
            <w:r w:rsidRPr="0079039A">
              <w:rPr>
                <w:rStyle w:val="Hyperlink"/>
                <w:noProof/>
              </w:rPr>
              <w:t>3. Business Model Transformations</w:t>
            </w:r>
            <w:r>
              <w:rPr>
                <w:noProof/>
                <w:webHidden/>
              </w:rPr>
              <w:tab/>
            </w:r>
            <w:r>
              <w:rPr>
                <w:noProof/>
                <w:webHidden/>
              </w:rPr>
              <w:fldChar w:fldCharType="begin"/>
            </w:r>
            <w:r>
              <w:rPr>
                <w:noProof/>
                <w:webHidden/>
              </w:rPr>
              <w:instrText xml:space="preserve"> PAGEREF _Toc229320740 \h </w:instrText>
            </w:r>
            <w:r>
              <w:rPr>
                <w:noProof/>
                <w:webHidden/>
              </w:rPr>
            </w:r>
            <w:r>
              <w:rPr>
                <w:noProof/>
                <w:webHidden/>
              </w:rPr>
              <w:fldChar w:fldCharType="separate"/>
            </w:r>
            <w:r>
              <w:rPr>
                <w:noProof/>
                <w:webHidden/>
              </w:rPr>
              <w:t>30</w:t>
            </w:r>
            <w:r>
              <w:rPr>
                <w:noProof/>
                <w:webHidden/>
              </w:rPr>
              <w:fldChar w:fldCharType="end"/>
            </w:r>
          </w:hyperlink>
        </w:p>
        <w:p w14:paraId="693096E2" w14:textId="57869638" w:rsidR="00F63EF2" w:rsidRDefault="00F63EF2">
          <w:pPr>
            <w:pStyle w:val="TOC3"/>
            <w:tabs>
              <w:tab w:val="left" w:pos="960"/>
              <w:tab w:val="right" w:leader="dot" w:pos="9926"/>
            </w:tabs>
            <w:rPr>
              <w:rFonts w:eastAsiaTheme="minorEastAsia"/>
              <w:noProof/>
              <w:sz w:val="24"/>
              <w:szCs w:val="24"/>
            </w:rPr>
          </w:pPr>
          <w:hyperlink w:anchor="_Toc229320741"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3.1 Market Segments 3 &amp; 4 - Supply Chain Disintermediation</w:t>
            </w:r>
            <w:r>
              <w:rPr>
                <w:noProof/>
                <w:webHidden/>
              </w:rPr>
              <w:tab/>
            </w:r>
            <w:r>
              <w:rPr>
                <w:noProof/>
                <w:webHidden/>
              </w:rPr>
              <w:fldChar w:fldCharType="begin"/>
            </w:r>
            <w:r>
              <w:rPr>
                <w:noProof/>
                <w:webHidden/>
              </w:rPr>
              <w:instrText xml:space="preserve"> PAGEREF _Toc229320741 \h </w:instrText>
            </w:r>
            <w:r>
              <w:rPr>
                <w:noProof/>
                <w:webHidden/>
              </w:rPr>
            </w:r>
            <w:r>
              <w:rPr>
                <w:noProof/>
                <w:webHidden/>
              </w:rPr>
              <w:fldChar w:fldCharType="separate"/>
            </w:r>
            <w:r>
              <w:rPr>
                <w:noProof/>
                <w:webHidden/>
              </w:rPr>
              <w:t>30</w:t>
            </w:r>
            <w:r>
              <w:rPr>
                <w:noProof/>
                <w:webHidden/>
              </w:rPr>
              <w:fldChar w:fldCharType="end"/>
            </w:r>
          </w:hyperlink>
        </w:p>
        <w:p w14:paraId="0819400F" w14:textId="1B7145D5" w:rsidR="00F63EF2" w:rsidRDefault="00F63EF2">
          <w:pPr>
            <w:pStyle w:val="TOC3"/>
            <w:tabs>
              <w:tab w:val="left" w:pos="960"/>
              <w:tab w:val="right" w:leader="dot" w:pos="9926"/>
            </w:tabs>
            <w:rPr>
              <w:rFonts w:eastAsiaTheme="minorEastAsia"/>
              <w:noProof/>
              <w:sz w:val="24"/>
              <w:szCs w:val="24"/>
            </w:rPr>
          </w:pPr>
          <w:hyperlink w:anchor="_Toc229320742"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3.2 Market Segment 5: Professional Services, Trades</w:t>
            </w:r>
            <w:r>
              <w:rPr>
                <w:noProof/>
                <w:webHidden/>
              </w:rPr>
              <w:tab/>
            </w:r>
            <w:r>
              <w:rPr>
                <w:noProof/>
                <w:webHidden/>
              </w:rPr>
              <w:fldChar w:fldCharType="begin"/>
            </w:r>
            <w:r>
              <w:rPr>
                <w:noProof/>
                <w:webHidden/>
              </w:rPr>
              <w:instrText xml:space="preserve"> PAGEREF _Toc229320742 \h </w:instrText>
            </w:r>
            <w:r>
              <w:rPr>
                <w:noProof/>
                <w:webHidden/>
              </w:rPr>
            </w:r>
            <w:r>
              <w:rPr>
                <w:noProof/>
                <w:webHidden/>
              </w:rPr>
              <w:fldChar w:fldCharType="separate"/>
            </w:r>
            <w:r>
              <w:rPr>
                <w:noProof/>
                <w:webHidden/>
              </w:rPr>
              <w:t>31</w:t>
            </w:r>
            <w:r>
              <w:rPr>
                <w:noProof/>
                <w:webHidden/>
              </w:rPr>
              <w:fldChar w:fldCharType="end"/>
            </w:r>
          </w:hyperlink>
        </w:p>
        <w:p w14:paraId="4BBB3EC3" w14:textId="40A03744" w:rsidR="00F63EF2" w:rsidRDefault="00F63EF2">
          <w:pPr>
            <w:pStyle w:val="TOC3"/>
            <w:tabs>
              <w:tab w:val="left" w:pos="960"/>
              <w:tab w:val="right" w:leader="dot" w:pos="9926"/>
            </w:tabs>
            <w:rPr>
              <w:rFonts w:eastAsiaTheme="minorEastAsia"/>
              <w:noProof/>
              <w:sz w:val="24"/>
              <w:szCs w:val="24"/>
            </w:rPr>
          </w:pPr>
          <w:hyperlink w:anchor="_Toc229320743"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3.3 Market Segment 3: Warranty Reserve Release</w:t>
            </w:r>
            <w:r>
              <w:rPr>
                <w:noProof/>
                <w:webHidden/>
              </w:rPr>
              <w:tab/>
            </w:r>
            <w:r>
              <w:rPr>
                <w:noProof/>
                <w:webHidden/>
              </w:rPr>
              <w:fldChar w:fldCharType="begin"/>
            </w:r>
            <w:r>
              <w:rPr>
                <w:noProof/>
                <w:webHidden/>
              </w:rPr>
              <w:instrText xml:space="preserve"> PAGEREF _Toc229320743 \h </w:instrText>
            </w:r>
            <w:r>
              <w:rPr>
                <w:noProof/>
                <w:webHidden/>
              </w:rPr>
            </w:r>
            <w:r>
              <w:rPr>
                <w:noProof/>
                <w:webHidden/>
              </w:rPr>
              <w:fldChar w:fldCharType="separate"/>
            </w:r>
            <w:r>
              <w:rPr>
                <w:noProof/>
                <w:webHidden/>
              </w:rPr>
              <w:t>31</w:t>
            </w:r>
            <w:r>
              <w:rPr>
                <w:noProof/>
                <w:webHidden/>
              </w:rPr>
              <w:fldChar w:fldCharType="end"/>
            </w:r>
          </w:hyperlink>
        </w:p>
        <w:p w14:paraId="6963AB55" w14:textId="6C824141" w:rsidR="00F63EF2" w:rsidRDefault="00F63EF2">
          <w:pPr>
            <w:pStyle w:val="TOC2"/>
            <w:tabs>
              <w:tab w:val="right" w:leader="dot" w:pos="9926"/>
            </w:tabs>
            <w:rPr>
              <w:rFonts w:eastAsiaTheme="minorEastAsia"/>
              <w:b w:val="0"/>
              <w:bCs w:val="0"/>
              <w:noProof/>
              <w:sz w:val="24"/>
              <w:szCs w:val="24"/>
            </w:rPr>
          </w:pPr>
          <w:hyperlink w:anchor="_Toc229320744" w:history="1">
            <w:r w:rsidRPr="0079039A">
              <w:rPr>
                <w:rStyle w:val="Hyperlink"/>
                <w:noProof/>
              </w:rPr>
              <w:t>4. The Siphon: All 10 Home Lifecycle Phases (Pricing Algorithms)</w:t>
            </w:r>
            <w:r>
              <w:rPr>
                <w:noProof/>
                <w:webHidden/>
              </w:rPr>
              <w:tab/>
            </w:r>
            <w:r>
              <w:rPr>
                <w:noProof/>
                <w:webHidden/>
              </w:rPr>
              <w:fldChar w:fldCharType="begin"/>
            </w:r>
            <w:r>
              <w:rPr>
                <w:noProof/>
                <w:webHidden/>
              </w:rPr>
              <w:instrText xml:space="preserve"> PAGEREF _Toc229320744 \h </w:instrText>
            </w:r>
            <w:r>
              <w:rPr>
                <w:noProof/>
                <w:webHidden/>
              </w:rPr>
            </w:r>
            <w:r>
              <w:rPr>
                <w:noProof/>
                <w:webHidden/>
              </w:rPr>
              <w:fldChar w:fldCharType="separate"/>
            </w:r>
            <w:r>
              <w:rPr>
                <w:noProof/>
                <w:webHidden/>
              </w:rPr>
              <w:t>31</w:t>
            </w:r>
            <w:r>
              <w:rPr>
                <w:noProof/>
                <w:webHidden/>
              </w:rPr>
              <w:fldChar w:fldCharType="end"/>
            </w:r>
          </w:hyperlink>
        </w:p>
        <w:p w14:paraId="2FB0DCAF" w14:textId="2A1B7F93" w:rsidR="00F63EF2" w:rsidRDefault="00F63EF2">
          <w:pPr>
            <w:pStyle w:val="TOC3"/>
            <w:tabs>
              <w:tab w:val="right" w:leader="dot" w:pos="9926"/>
            </w:tabs>
            <w:rPr>
              <w:rFonts w:eastAsiaTheme="minorEastAsia"/>
              <w:noProof/>
              <w:sz w:val="24"/>
              <w:szCs w:val="24"/>
            </w:rPr>
          </w:pPr>
          <w:hyperlink w:anchor="_Toc229320745" w:history="1">
            <w:r w:rsidRPr="0079039A">
              <w:rPr>
                <w:rStyle w:val="Hyperlink"/>
                <w:b/>
                <w:bCs/>
                <w:noProof/>
              </w:rPr>
              <w:t>4.1 Lifecycle Phases 1 &amp; 2: Planning &amp; Pre-Construction</w:t>
            </w:r>
            <w:r>
              <w:rPr>
                <w:noProof/>
                <w:webHidden/>
              </w:rPr>
              <w:tab/>
            </w:r>
            <w:r>
              <w:rPr>
                <w:noProof/>
                <w:webHidden/>
              </w:rPr>
              <w:fldChar w:fldCharType="begin"/>
            </w:r>
            <w:r>
              <w:rPr>
                <w:noProof/>
                <w:webHidden/>
              </w:rPr>
              <w:instrText xml:space="preserve"> PAGEREF _Toc229320745 \h </w:instrText>
            </w:r>
            <w:r>
              <w:rPr>
                <w:noProof/>
                <w:webHidden/>
              </w:rPr>
            </w:r>
            <w:r>
              <w:rPr>
                <w:noProof/>
                <w:webHidden/>
              </w:rPr>
              <w:fldChar w:fldCharType="separate"/>
            </w:r>
            <w:r>
              <w:rPr>
                <w:noProof/>
                <w:webHidden/>
              </w:rPr>
              <w:t>31</w:t>
            </w:r>
            <w:r>
              <w:rPr>
                <w:noProof/>
                <w:webHidden/>
              </w:rPr>
              <w:fldChar w:fldCharType="end"/>
            </w:r>
          </w:hyperlink>
        </w:p>
        <w:p w14:paraId="2F0EE244" w14:textId="415C31E0" w:rsidR="00F63EF2" w:rsidRDefault="00F63EF2">
          <w:pPr>
            <w:pStyle w:val="TOC3"/>
            <w:tabs>
              <w:tab w:val="right" w:leader="dot" w:pos="9926"/>
            </w:tabs>
            <w:rPr>
              <w:rFonts w:eastAsiaTheme="minorEastAsia"/>
              <w:noProof/>
              <w:sz w:val="24"/>
              <w:szCs w:val="24"/>
            </w:rPr>
          </w:pPr>
          <w:hyperlink w:anchor="_Toc229320746" w:history="1">
            <w:r w:rsidRPr="0079039A">
              <w:rPr>
                <w:rStyle w:val="Hyperlink"/>
                <w:b/>
                <w:bCs/>
                <w:noProof/>
              </w:rPr>
              <w:t>4.2 Lifecycle Phases 3 &amp; 4: Construction, Supply Chains &amp; Commissioning</w:t>
            </w:r>
            <w:r>
              <w:rPr>
                <w:noProof/>
                <w:webHidden/>
              </w:rPr>
              <w:tab/>
            </w:r>
            <w:r>
              <w:rPr>
                <w:noProof/>
                <w:webHidden/>
              </w:rPr>
              <w:fldChar w:fldCharType="begin"/>
            </w:r>
            <w:r>
              <w:rPr>
                <w:noProof/>
                <w:webHidden/>
              </w:rPr>
              <w:instrText xml:space="preserve"> PAGEREF _Toc229320746 \h </w:instrText>
            </w:r>
            <w:r>
              <w:rPr>
                <w:noProof/>
                <w:webHidden/>
              </w:rPr>
            </w:r>
            <w:r>
              <w:rPr>
                <w:noProof/>
                <w:webHidden/>
              </w:rPr>
              <w:fldChar w:fldCharType="separate"/>
            </w:r>
            <w:r>
              <w:rPr>
                <w:noProof/>
                <w:webHidden/>
              </w:rPr>
              <w:t>32</w:t>
            </w:r>
            <w:r>
              <w:rPr>
                <w:noProof/>
                <w:webHidden/>
              </w:rPr>
              <w:fldChar w:fldCharType="end"/>
            </w:r>
          </w:hyperlink>
        </w:p>
        <w:p w14:paraId="690B297C" w14:textId="519C8E0C" w:rsidR="00F63EF2" w:rsidRDefault="00F63EF2">
          <w:pPr>
            <w:pStyle w:val="TOC3"/>
            <w:tabs>
              <w:tab w:val="right" w:leader="dot" w:pos="9926"/>
            </w:tabs>
            <w:rPr>
              <w:rFonts w:eastAsiaTheme="minorEastAsia"/>
              <w:noProof/>
              <w:sz w:val="24"/>
              <w:szCs w:val="24"/>
            </w:rPr>
          </w:pPr>
          <w:hyperlink w:anchor="_Toc229320747" w:history="1">
            <w:r w:rsidRPr="0079039A">
              <w:rPr>
                <w:rStyle w:val="Hyperlink"/>
                <w:b/>
                <w:bCs/>
                <w:noProof/>
              </w:rPr>
              <w:t>4.3 Lifecycle Phases 5, 6 &amp; 7: Sales, Financing &amp; Insurance</w:t>
            </w:r>
            <w:r>
              <w:rPr>
                <w:noProof/>
                <w:webHidden/>
              </w:rPr>
              <w:tab/>
            </w:r>
            <w:r>
              <w:rPr>
                <w:noProof/>
                <w:webHidden/>
              </w:rPr>
              <w:fldChar w:fldCharType="begin"/>
            </w:r>
            <w:r>
              <w:rPr>
                <w:noProof/>
                <w:webHidden/>
              </w:rPr>
              <w:instrText xml:space="preserve"> PAGEREF _Toc229320747 \h </w:instrText>
            </w:r>
            <w:r>
              <w:rPr>
                <w:noProof/>
                <w:webHidden/>
              </w:rPr>
            </w:r>
            <w:r>
              <w:rPr>
                <w:noProof/>
                <w:webHidden/>
              </w:rPr>
              <w:fldChar w:fldCharType="separate"/>
            </w:r>
            <w:r>
              <w:rPr>
                <w:noProof/>
                <w:webHidden/>
              </w:rPr>
              <w:t>32</w:t>
            </w:r>
            <w:r>
              <w:rPr>
                <w:noProof/>
                <w:webHidden/>
              </w:rPr>
              <w:fldChar w:fldCharType="end"/>
            </w:r>
          </w:hyperlink>
        </w:p>
        <w:p w14:paraId="6C4371A1" w14:textId="352E54D3" w:rsidR="00F63EF2" w:rsidRDefault="00F63EF2">
          <w:pPr>
            <w:pStyle w:val="TOC3"/>
            <w:tabs>
              <w:tab w:val="right" w:leader="dot" w:pos="9926"/>
            </w:tabs>
            <w:rPr>
              <w:rFonts w:eastAsiaTheme="minorEastAsia"/>
              <w:noProof/>
              <w:sz w:val="24"/>
              <w:szCs w:val="24"/>
            </w:rPr>
          </w:pPr>
          <w:hyperlink w:anchor="_Toc229320748" w:history="1">
            <w:r w:rsidRPr="0079039A">
              <w:rPr>
                <w:rStyle w:val="Hyperlink"/>
                <w:b/>
                <w:bCs/>
                <w:noProof/>
              </w:rPr>
              <w:t>4.4 Lifecycle Phases 8, 9 &amp; 10: Home Operations, Maintenance &amp; Resale</w:t>
            </w:r>
            <w:r>
              <w:rPr>
                <w:noProof/>
                <w:webHidden/>
              </w:rPr>
              <w:tab/>
            </w:r>
            <w:r>
              <w:rPr>
                <w:noProof/>
                <w:webHidden/>
              </w:rPr>
              <w:fldChar w:fldCharType="begin"/>
            </w:r>
            <w:r>
              <w:rPr>
                <w:noProof/>
                <w:webHidden/>
              </w:rPr>
              <w:instrText xml:space="preserve"> PAGEREF _Toc229320748 \h </w:instrText>
            </w:r>
            <w:r>
              <w:rPr>
                <w:noProof/>
                <w:webHidden/>
              </w:rPr>
            </w:r>
            <w:r>
              <w:rPr>
                <w:noProof/>
                <w:webHidden/>
              </w:rPr>
              <w:fldChar w:fldCharType="separate"/>
            </w:r>
            <w:r>
              <w:rPr>
                <w:noProof/>
                <w:webHidden/>
              </w:rPr>
              <w:t>33</w:t>
            </w:r>
            <w:r>
              <w:rPr>
                <w:noProof/>
                <w:webHidden/>
              </w:rPr>
              <w:fldChar w:fldCharType="end"/>
            </w:r>
          </w:hyperlink>
        </w:p>
        <w:p w14:paraId="726B29CB" w14:textId="325C2366" w:rsidR="00F63EF2" w:rsidRDefault="00F63EF2">
          <w:pPr>
            <w:pStyle w:val="TOC2"/>
            <w:tabs>
              <w:tab w:val="right" w:leader="dot" w:pos="9926"/>
            </w:tabs>
            <w:rPr>
              <w:rFonts w:eastAsiaTheme="minorEastAsia"/>
              <w:b w:val="0"/>
              <w:bCs w:val="0"/>
              <w:noProof/>
              <w:sz w:val="24"/>
              <w:szCs w:val="24"/>
            </w:rPr>
          </w:pPr>
          <w:hyperlink w:anchor="_Toc229320749" w:history="1">
            <w:r w:rsidRPr="0079039A">
              <w:rPr>
                <w:rStyle w:val="Hyperlink"/>
                <w:noProof/>
              </w:rPr>
              <w:t>5. The Retail &amp; Distribution Engine</w:t>
            </w:r>
            <w:r>
              <w:rPr>
                <w:noProof/>
                <w:webHidden/>
              </w:rPr>
              <w:tab/>
            </w:r>
            <w:r>
              <w:rPr>
                <w:noProof/>
                <w:webHidden/>
              </w:rPr>
              <w:fldChar w:fldCharType="begin"/>
            </w:r>
            <w:r>
              <w:rPr>
                <w:noProof/>
                <w:webHidden/>
              </w:rPr>
              <w:instrText xml:space="preserve"> PAGEREF _Toc229320749 \h </w:instrText>
            </w:r>
            <w:r>
              <w:rPr>
                <w:noProof/>
                <w:webHidden/>
              </w:rPr>
            </w:r>
            <w:r>
              <w:rPr>
                <w:noProof/>
                <w:webHidden/>
              </w:rPr>
              <w:fldChar w:fldCharType="separate"/>
            </w:r>
            <w:r>
              <w:rPr>
                <w:noProof/>
                <w:webHidden/>
              </w:rPr>
              <w:t>34</w:t>
            </w:r>
            <w:r>
              <w:rPr>
                <w:noProof/>
                <w:webHidden/>
              </w:rPr>
              <w:fldChar w:fldCharType="end"/>
            </w:r>
          </w:hyperlink>
        </w:p>
        <w:p w14:paraId="142F37C7" w14:textId="4DC781B1" w:rsidR="00F63EF2" w:rsidRDefault="00F63EF2">
          <w:pPr>
            <w:pStyle w:val="TOC3"/>
            <w:tabs>
              <w:tab w:val="left" w:pos="960"/>
              <w:tab w:val="right" w:leader="dot" w:pos="9926"/>
            </w:tabs>
            <w:rPr>
              <w:rFonts w:eastAsiaTheme="minorEastAsia"/>
              <w:noProof/>
              <w:sz w:val="24"/>
              <w:szCs w:val="24"/>
            </w:rPr>
          </w:pPr>
          <w:hyperlink w:anchor="_Toc229320750"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5.1 The "Truth Portal" (Institutional SaaS Interface)</w:t>
            </w:r>
            <w:r>
              <w:rPr>
                <w:noProof/>
                <w:webHidden/>
              </w:rPr>
              <w:tab/>
            </w:r>
            <w:r>
              <w:rPr>
                <w:noProof/>
                <w:webHidden/>
              </w:rPr>
              <w:fldChar w:fldCharType="begin"/>
            </w:r>
            <w:r>
              <w:rPr>
                <w:noProof/>
                <w:webHidden/>
              </w:rPr>
              <w:instrText xml:space="preserve"> PAGEREF _Toc229320750 \h </w:instrText>
            </w:r>
            <w:r>
              <w:rPr>
                <w:noProof/>
                <w:webHidden/>
              </w:rPr>
            </w:r>
            <w:r>
              <w:rPr>
                <w:noProof/>
                <w:webHidden/>
              </w:rPr>
              <w:fldChar w:fldCharType="separate"/>
            </w:r>
            <w:r>
              <w:rPr>
                <w:noProof/>
                <w:webHidden/>
              </w:rPr>
              <w:t>34</w:t>
            </w:r>
            <w:r>
              <w:rPr>
                <w:noProof/>
                <w:webHidden/>
              </w:rPr>
              <w:fldChar w:fldCharType="end"/>
            </w:r>
          </w:hyperlink>
        </w:p>
        <w:p w14:paraId="727B777A" w14:textId="6C6195A9" w:rsidR="00F63EF2" w:rsidRDefault="00F63EF2">
          <w:pPr>
            <w:pStyle w:val="TOC3"/>
            <w:tabs>
              <w:tab w:val="left" w:pos="960"/>
              <w:tab w:val="right" w:leader="dot" w:pos="9926"/>
            </w:tabs>
            <w:rPr>
              <w:rFonts w:eastAsiaTheme="minorEastAsia"/>
              <w:noProof/>
              <w:sz w:val="24"/>
              <w:szCs w:val="24"/>
            </w:rPr>
          </w:pPr>
          <w:hyperlink w:anchor="_Toc229320751"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5.2 Product Packaging (The "Retailing" Formats)</w:t>
            </w:r>
            <w:r>
              <w:rPr>
                <w:noProof/>
                <w:webHidden/>
              </w:rPr>
              <w:tab/>
            </w:r>
            <w:r>
              <w:rPr>
                <w:noProof/>
                <w:webHidden/>
              </w:rPr>
              <w:fldChar w:fldCharType="begin"/>
            </w:r>
            <w:r>
              <w:rPr>
                <w:noProof/>
                <w:webHidden/>
              </w:rPr>
              <w:instrText xml:space="preserve"> PAGEREF _Toc229320751 \h </w:instrText>
            </w:r>
            <w:r>
              <w:rPr>
                <w:noProof/>
                <w:webHidden/>
              </w:rPr>
            </w:r>
            <w:r>
              <w:rPr>
                <w:noProof/>
                <w:webHidden/>
              </w:rPr>
              <w:fldChar w:fldCharType="separate"/>
            </w:r>
            <w:r>
              <w:rPr>
                <w:noProof/>
                <w:webHidden/>
              </w:rPr>
              <w:t>34</w:t>
            </w:r>
            <w:r>
              <w:rPr>
                <w:noProof/>
                <w:webHidden/>
              </w:rPr>
              <w:fldChar w:fldCharType="end"/>
            </w:r>
          </w:hyperlink>
        </w:p>
        <w:p w14:paraId="05A36747" w14:textId="74C1FD31" w:rsidR="00F63EF2" w:rsidRDefault="00F63EF2">
          <w:pPr>
            <w:pStyle w:val="TOC3"/>
            <w:tabs>
              <w:tab w:val="left" w:pos="960"/>
              <w:tab w:val="right" w:leader="dot" w:pos="9926"/>
            </w:tabs>
            <w:rPr>
              <w:rFonts w:eastAsiaTheme="minorEastAsia"/>
              <w:noProof/>
              <w:sz w:val="24"/>
              <w:szCs w:val="24"/>
            </w:rPr>
          </w:pPr>
          <w:hyperlink w:anchor="_Toc229320752"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5.3 Distribution Strategy (The "Velocity Fix")</w:t>
            </w:r>
            <w:r>
              <w:rPr>
                <w:noProof/>
                <w:webHidden/>
              </w:rPr>
              <w:tab/>
            </w:r>
            <w:r>
              <w:rPr>
                <w:noProof/>
                <w:webHidden/>
              </w:rPr>
              <w:fldChar w:fldCharType="begin"/>
            </w:r>
            <w:r>
              <w:rPr>
                <w:noProof/>
                <w:webHidden/>
              </w:rPr>
              <w:instrText xml:space="preserve"> PAGEREF _Toc229320752 \h </w:instrText>
            </w:r>
            <w:r>
              <w:rPr>
                <w:noProof/>
                <w:webHidden/>
              </w:rPr>
            </w:r>
            <w:r>
              <w:rPr>
                <w:noProof/>
                <w:webHidden/>
              </w:rPr>
              <w:fldChar w:fldCharType="separate"/>
            </w:r>
            <w:r>
              <w:rPr>
                <w:noProof/>
                <w:webHidden/>
              </w:rPr>
              <w:t>34</w:t>
            </w:r>
            <w:r>
              <w:rPr>
                <w:noProof/>
                <w:webHidden/>
              </w:rPr>
              <w:fldChar w:fldCharType="end"/>
            </w:r>
          </w:hyperlink>
        </w:p>
        <w:p w14:paraId="68BDCE1B" w14:textId="1B9FABE0" w:rsidR="00F63EF2" w:rsidRDefault="00F63EF2">
          <w:pPr>
            <w:pStyle w:val="TOC1"/>
            <w:tabs>
              <w:tab w:val="right" w:leader="dot" w:pos="9926"/>
            </w:tabs>
            <w:rPr>
              <w:rFonts w:eastAsiaTheme="minorEastAsia"/>
              <w:b w:val="0"/>
              <w:bCs w:val="0"/>
              <w:i w:val="0"/>
              <w:iCs w:val="0"/>
              <w:noProof/>
            </w:rPr>
          </w:pPr>
          <w:hyperlink w:anchor="_Toc229320753" w:history="1">
            <w:r w:rsidRPr="0079039A">
              <w:rPr>
                <w:rStyle w:val="Hyperlink"/>
                <w:noProof/>
              </w:rPr>
              <w:t>Addendum:</w:t>
            </w:r>
            <w:r>
              <w:rPr>
                <w:noProof/>
                <w:webHidden/>
              </w:rPr>
              <w:tab/>
            </w:r>
            <w:r>
              <w:rPr>
                <w:noProof/>
                <w:webHidden/>
              </w:rPr>
              <w:fldChar w:fldCharType="begin"/>
            </w:r>
            <w:r>
              <w:rPr>
                <w:noProof/>
                <w:webHidden/>
              </w:rPr>
              <w:instrText xml:space="preserve"> PAGEREF _Toc229320753 \h </w:instrText>
            </w:r>
            <w:r>
              <w:rPr>
                <w:noProof/>
                <w:webHidden/>
              </w:rPr>
            </w:r>
            <w:r>
              <w:rPr>
                <w:noProof/>
                <w:webHidden/>
              </w:rPr>
              <w:fldChar w:fldCharType="separate"/>
            </w:r>
            <w:r>
              <w:rPr>
                <w:noProof/>
                <w:webHidden/>
              </w:rPr>
              <w:t>35</w:t>
            </w:r>
            <w:r>
              <w:rPr>
                <w:noProof/>
                <w:webHidden/>
              </w:rPr>
              <w:fldChar w:fldCharType="end"/>
            </w:r>
          </w:hyperlink>
        </w:p>
        <w:p w14:paraId="5498CE4E" w14:textId="00208ED4" w:rsidR="00F63EF2" w:rsidRDefault="00F63EF2">
          <w:pPr>
            <w:pStyle w:val="TOC2"/>
            <w:tabs>
              <w:tab w:val="right" w:leader="dot" w:pos="9926"/>
            </w:tabs>
            <w:rPr>
              <w:rFonts w:eastAsiaTheme="minorEastAsia"/>
              <w:b w:val="0"/>
              <w:bCs w:val="0"/>
              <w:noProof/>
              <w:sz w:val="24"/>
              <w:szCs w:val="24"/>
            </w:rPr>
          </w:pPr>
          <w:hyperlink w:anchor="_Toc229320754" w:history="1">
            <w:r w:rsidRPr="0079039A">
              <w:rPr>
                <w:rStyle w:val="Hyperlink"/>
                <w:noProof/>
              </w:rPr>
              <w:t>1. HPM-to-Big-Digital-Twin Synchronization Protocol</w:t>
            </w:r>
            <w:r>
              <w:rPr>
                <w:noProof/>
                <w:webHidden/>
              </w:rPr>
              <w:tab/>
            </w:r>
            <w:r>
              <w:rPr>
                <w:noProof/>
                <w:webHidden/>
              </w:rPr>
              <w:fldChar w:fldCharType="begin"/>
            </w:r>
            <w:r>
              <w:rPr>
                <w:noProof/>
                <w:webHidden/>
              </w:rPr>
              <w:instrText xml:space="preserve"> PAGEREF _Toc229320754 \h </w:instrText>
            </w:r>
            <w:r>
              <w:rPr>
                <w:noProof/>
                <w:webHidden/>
              </w:rPr>
            </w:r>
            <w:r>
              <w:rPr>
                <w:noProof/>
                <w:webHidden/>
              </w:rPr>
              <w:fldChar w:fldCharType="separate"/>
            </w:r>
            <w:r>
              <w:rPr>
                <w:noProof/>
                <w:webHidden/>
              </w:rPr>
              <w:t>36</w:t>
            </w:r>
            <w:r>
              <w:rPr>
                <w:noProof/>
                <w:webHidden/>
              </w:rPr>
              <w:fldChar w:fldCharType="end"/>
            </w:r>
          </w:hyperlink>
        </w:p>
        <w:p w14:paraId="052F60C7" w14:textId="2754B6C5" w:rsidR="00F63EF2" w:rsidRDefault="00F63EF2">
          <w:pPr>
            <w:pStyle w:val="TOC3"/>
            <w:tabs>
              <w:tab w:val="left" w:pos="960"/>
              <w:tab w:val="right" w:leader="dot" w:pos="9926"/>
            </w:tabs>
            <w:rPr>
              <w:rFonts w:eastAsiaTheme="minorEastAsia"/>
              <w:noProof/>
              <w:sz w:val="24"/>
              <w:szCs w:val="24"/>
            </w:rPr>
          </w:pPr>
          <w:hyperlink w:anchor="_Toc229320755"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1.1 Telemetry Slicing &amp; Batch Transmission</w:t>
            </w:r>
            <w:r>
              <w:rPr>
                <w:noProof/>
                <w:webHidden/>
              </w:rPr>
              <w:tab/>
            </w:r>
            <w:r>
              <w:rPr>
                <w:noProof/>
                <w:webHidden/>
              </w:rPr>
              <w:fldChar w:fldCharType="begin"/>
            </w:r>
            <w:r>
              <w:rPr>
                <w:noProof/>
                <w:webHidden/>
              </w:rPr>
              <w:instrText xml:space="preserve"> PAGEREF _Toc229320755 \h </w:instrText>
            </w:r>
            <w:r>
              <w:rPr>
                <w:noProof/>
                <w:webHidden/>
              </w:rPr>
            </w:r>
            <w:r>
              <w:rPr>
                <w:noProof/>
                <w:webHidden/>
              </w:rPr>
              <w:fldChar w:fldCharType="separate"/>
            </w:r>
            <w:r>
              <w:rPr>
                <w:noProof/>
                <w:webHidden/>
              </w:rPr>
              <w:t>36</w:t>
            </w:r>
            <w:r>
              <w:rPr>
                <w:noProof/>
                <w:webHidden/>
              </w:rPr>
              <w:fldChar w:fldCharType="end"/>
            </w:r>
          </w:hyperlink>
        </w:p>
        <w:p w14:paraId="05A06EFD" w14:textId="762EB679" w:rsidR="00F63EF2" w:rsidRDefault="00F63EF2">
          <w:pPr>
            <w:pStyle w:val="TOC3"/>
            <w:tabs>
              <w:tab w:val="left" w:pos="960"/>
              <w:tab w:val="right" w:leader="dot" w:pos="9926"/>
            </w:tabs>
            <w:rPr>
              <w:rFonts w:eastAsiaTheme="minorEastAsia"/>
              <w:noProof/>
              <w:sz w:val="24"/>
              <w:szCs w:val="24"/>
            </w:rPr>
          </w:pPr>
          <w:hyperlink w:anchor="_Toc229320756"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1.2 Parameter Propagation &amp; Coefficient Sync</w:t>
            </w:r>
            <w:r>
              <w:rPr>
                <w:noProof/>
                <w:webHidden/>
              </w:rPr>
              <w:tab/>
            </w:r>
            <w:r>
              <w:rPr>
                <w:noProof/>
                <w:webHidden/>
              </w:rPr>
              <w:fldChar w:fldCharType="begin"/>
            </w:r>
            <w:r>
              <w:rPr>
                <w:noProof/>
                <w:webHidden/>
              </w:rPr>
              <w:instrText xml:space="preserve"> PAGEREF _Toc229320756 \h </w:instrText>
            </w:r>
            <w:r>
              <w:rPr>
                <w:noProof/>
                <w:webHidden/>
              </w:rPr>
            </w:r>
            <w:r>
              <w:rPr>
                <w:noProof/>
                <w:webHidden/>
              </w:rPr>
              <w:fldChar w:fldCharType="separate"/>
            </w:r>
            <w:r>
              <w:rPr>
                <w:noProof/>
                <w:webHidden/>
              </w:rPr>
              <w:t>36</w:t>
            </w:r>
            <w:r>
              <w:rPr>
                <w:noProof/>
                <w:webHidden/>
              </w:rPr>
              <w:fldChar w:fldCharType="end"/>
            </w:r>
          </w:hyperlink>
        </w:p>
        <w:p w14:paraId="76CE9854" w14:textId="2300D318" w:rsidR="00F63EF2" w:rsidRDefault="00F63EF2">
          <w:pPr>
            <w:pStyle w:val="TOC3"/>
            <w:tabs>
              <w:tab w:val="left" w:pos="960"/>
              <w:tab w:val="right" w:leader="dot" w:pos="9926"/>
            </w:tabs>
            <w:rPr>
              <w:rFonts w:eastAsiaTheme="minorEastAsia"/>
              <w:noProof/>
              <w:sz w:val="24"/>
              <w:szCs w:val="24"/>
            </w:rPr>
          </w:pPr>
          <w:hyperlink w:anchor="_Toc229320757"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1.3 Connectivity Guardrails (The "Standalone" Mandate)</w:t>
            </w:r>
            <w:r>
              <w:rPr>
                <w:noProof/>
                <w:webHidden/>
              </w:rPr>
              <w:tab/>
            </w:r>
            <w:r>
              <w:rPr>
                <w:noProof/>
                <w:webHidden/>
              </w:rPr>
              <w:fldChar w:fldCharType="begin"/>
            </w:r>
            <w:r>
              <w:rPr>
                <w:noProof/>
                <w:webHidden/>
              </w:rPr>
              <w:instrText xml:space="preserve"> PAGEREF _Toc229320757 \h </w:instrText>
            </w:r>
            <w:r>
              <w:rPr>
                <w:noProof/>
                <w:webHidden/>
              </w:rPr>
            </w:r>
            <w:r>
              <w:rPr>
                <w:noProof/>
                <w:webHidden/>
              </w:rPr>
              <w:fldChar w:fldCharType="separate"/>
            </w:r>
            <w:r>
              <w:rPr>
                <w:noProof/>
                <w:webHidden/>
              </w:rPr>
              <w:t>37</w:t>
            </w:r>
            <w:r>
              <w:rPr>
                <w:noProof/>
                <w:webHidden/>
              </w:rPr>
              <w:fldChar w:fldCharType="end"/>
            </w:r>
          </w:hyperlink>
        </w:p>
        <w:p w14:paraId="6EB6C619" w14:textId="6454E18D" w:rsidR="00F63EF2" w:rsidRDefault="00F63EF2">
          <w:pPr>
            <w:pStyle w:val="TOC3"/>
            <w:tabs>
              <w:tab w:val="left" w:pos="960"/>
              <w:tab w:val="right" w:leader="dot" w:pos="9926"/>
            </w:tabs>
            <w:rPr>
              <w:rFonts w:eastAsiaTheme="minorEastAsia"/>
              <w:noProof/>
              <w:sz w:val="24"/>
              <w:szCs w:val="24"/>
            </w:rPr>
          </w:pPr>
          <w:hyperlink w:anchor="_Toc229320758"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1.4 Security &amp; Cryptographic Handshake</w:t>
            </w:r>
            <w:r>
              <w:rPr>
                <w:noProof/>
                <w:webHidden/>
              </w:rPr>
              <w:tab/>
            </w:r>
            <w:r>
              <w:rPr>
                <w:noProof/>
                <w:webHidden/>
              </w:rPr>
              <w:fldChar w:fldCharType="begin"/>
            </w:r>
            <w:r>
              <w:rPr>
                <w:noProof/>
                <w:webHidden/>
              </w:rPr>
              <w:instrText xml:space="preserve"> PAGEREF _Toc229320758 \h </w:instrText>
            </w:r>
            <w:r>
              <w:rPr>
                <w:noProof/>
                <w:webHidden/>
              </w:rPr>
            </w:r>
            <w:r>
              <w:rPr>
                <w:noProof/>
                <w:webHidden/>
              </w:rPr>
              <w:fldChar w:fldCharType="separate"/>
            </w:r>
            <w:r>
              <w:rPr>
                <w:noProof/>
                <w:webHidden/>
              </w:rPr>
              <w:t>37</w:t>
            </w:r>
            <w:r>
              <w:rPr>
                <w:noProof/>
                <w:webHidden/>
              </w:rPr>
              <w:fldChar w:fldCharType="end"/>
            </w:r>
          </w:hyperlink>
        </w:p>
        <w:p w14:paraId="74DAA963" w14:textId="559E1F1E" w:rsidR="00F63EF2" w:rsidRDefault="00F63EF2">
          <w:pPr>
            <w:pStyle w:val="TOC2"/>
            <w:tabs>
              <w:tab w:val="right" w:leader="dot" w:pos="9926"/>
            </w:tabs>
            <w:rPr>
              <w:rFonts w:eastAsiaTheme="minorEastAsia"/>
              <w:b w:val="0"/>
              <w:bCs w:val="0"/>
              <w:noProof/>
              <w:sz w:val="24"/>
              <w:szCs w:val="24"/>
            </w:rPr>
          </w:pPr>
          <w:hyperlink w:anchor="_Toc229320759" w:history="1">
            <w:r w:rsidRPr="0079039A">
              <w:rPr>
                <w:rStyle w:val="Hyperlink"/>
                <w:noProof/>
              </w:rPr>
              <w:t>2. Legal Admissibility &amp; Liability Protection</w:t>
            </w:r>
            <w:r>
              <w:rPr>
                <w:noProof/>
                <w:webHidden/>
              </w:rPr>
              <w:tab/>
            </w:r>
            <w:r>
              <w:rPr>
                <w:noProof/>
                <w:webHidden/>
              </w:rPr>
              <w:fldChar w:fldCharType="begin"/>
            </w:r>
            <w:r>
              <w:rPr>
                <w:noProof/>
                <w:webHidden/>
              </w:rPr>
              <w:instrText xml:space="preserve"> PAGEREF _Toc229320759 \h </w:instrText>
            </w:r>
            <w:r>
              <w:rPr>
                <w:noProof/>
                <w:webHidden/>
              </w:rPr>
            </w:r>
            <w:r>
              <w:rPr>
                <w:noProof/>
                <w:webHidden/>
              </w:rPr>
              <w:fldChar w:fldCharType="separate"/>
            </w:r>
            <w:r>
              <w:rPr>
                <w:noProof/>
                <w:webHidden/>
              </w:rPr>
              <w:t>38</w:t>
            </w:r>
            <w:r>
              <w:rPr>
                <w:noProof/>
                <w:webHidden/>
              </w:rPr>
              <w:fldChar w:fldCharType="end"/>
            </w:r>
          </w:hyperlink>
        </w:p>
        <w:p w14:paraId="03A121FF" w14:textId="197B7FC0" w:rsidR="00F63EF2" w:rsidRDefault="00F63EF2">
          <w:pPr>
            <w:pStyle w:val="TOC3"/>
            <w:tabs>
              <w:tab w:val="left" w:pos="960"/>
              <w:tab w:val="right" w:leader="dot" w:pos="9926"/>
            </w:tabs>
            <w:rPr>
              <w:rFonts w:eastAsiaTheme="minorEastAsia"/>
              <w:noProof/>
              <w:sz w:val="24"/>
              <w:szCs w:val="24"/>
            </w:rPr>
          </w:pPr>
          <w:hyperlink w:anchor="_Toc229320760"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2.1 The Legal Mechanism: Admissibility as a Business Record</w:t>
            </w:r>
            <w:r>
              <w:rPr>
                <w:noProof/>
                <w:webHidden/>
              </w:rPr>
              <w:tab/>
            </w:r>
            <w:r>
              <w:rPr>
                <w:noProof/>
                <w:webHidden/>
              </w:rPr>
              <w:fldChar w:fldCharType="begin"/>
            </w:r>
            <w:r>
              <w:rPr>
                <w:noProof/>
                <w:webHidden/>
              </w:rPr>
              <w:instrText xml:space="preserve"> PAGEREF _Toc229320760 \h </w:instrText>
            </w:r>
            <w:r>
              <w:rPr>
                <w:noProof/>
                <w:webHidden/>
              </w:rPr>
            </w:r>
            <w:r>
              <w:rPr>
                <w:noProof/>
                <w:webHidden/>
              </w:rPr>
              <w:fldChar w:fldCharType="separate"/>
            </w:r>
            <w:r>
              <w:rPr>
                <w:noProof/>
                <w:webHidden/>
              </w:rPr>
              <w:t>38</w:t>
            </w:r>
            <w:r>
              <w:rPr>
                <w:noProof/>
                <w:webHidden/>
              </w:rPr>
              <w:fldChar w:fldCharType="end"/>
            </w:r>
          </w:hyperlink>
        </w:p>
        <w:p w14:paraId="57A1DDD2" w14:textId="1290DAD4" w:rsidR="00F63EF2" w:rsidRDefault="00F63EF2">
          <w:pPr>
            <w:pStyle w:val="TOC3"/>
            <w:tabs>
              <w:tab w:val="left" w:pos="960"/>
              <w:tab w:val="right" w:leader="dot" w:pos="9926"/>
            </w:tabs>
            <w:rPr>
              <w:rFonts w:eastAsiaTheme="minorEastAsia"/>
              <w:noProof/>
              <w:sz w:val="24"/>
              <w:szCs w:val="24"/>
            </w:rPr>
          </w:pPr>
          <w:hyperlink w:anchor="_Toc229320761" w:history="1">
            <w:r w:rsidRPr="0079039A">
              <w:rPr>
                <w:rStyle w:val="Hyperlink"/>
                <w:rFonts w:ascii="Symbol" w:hAnsi="Symbol" w:cs="Symbol"/>
                <w:noProof/>
              </w:rPr>
              <w:t></w:t>
            </w:r>
            <w:r>
              <w:rPr>
                <w:rFonts w:eastAsiaTheme="minorEastAsia"/>
                <w:noProof/>
                <w:sz w:val="24"/>
                <w:szCs w:val="24"/>
              </w:rPr>
              <w:tab/>
            </w:r>
            <w:r w:rsidRPr="0079039A">
              <w:rPr>
                <w:rStyle w:val="Hyperlink"/>
                <w:b/>
                <w:bCs/>
                <w:noProof/>
              </w:rPr>
              <w:t>2.2 Active Protection Against Defect Claims</w:t>
            </w:r>
            <w:r>
              <w:rPr>
                <w:noProof/>
                <w:webHidden/>
              </w:rPr>
              <w:tab/>
            </w:r>
            <w:r>
              <w:rPr>
                <w:noProof/>
                <w:webHidden/>
              </w:rPr>
              <w:fldChar w:fldCharType="begin"/>
            </w:r>
            <w:r>
              <w:rPr>
                <w:noProof/>
                <w:webHidden/>
              </w:rPr>
              <w:instrText xml:space="preserve"> PAGEREF _Toc229320761 \h </w:instrText>
            </w:r>
            <w:r>
              <w:rPr>
                <w:noProof/>
                <w:webHidden/>
              </w:rPr>
            </w:r>
            <w:r>
              <w:rPr>
                <w:noProof/>
                <w:webHidden/>
              </w:rPr>
              <w:fldChar w:fldCharType="separate"/>
            </w:r>
            <w:r>
              <w:rPr>
                <w:noProof/>
                <w:webHidden/>
              </w:rPr>
              <w:t>38</w:t>
            </w:r>
            <w:r>
              <w:rPr>
                <w:noProof/>
                <w:webHidden/>
              </w:rPr>
              <w:fldChar w:fldCharType="end"/>
            </w:r>
          </w:hyperlink>
        </w:p>
        <w:p w14:paraId="77C7A53E" w14:textId="4153D7F6" w:rsidR="00F63EF2" w:rsidRDefault="00F63EF2">
          <w:pPr>
            <w:pStyle w:val="TOC2"/>
            <w:tabs>
              <w:tab w:val="right" w:leader="dot" w:pos="9926"/>
            </w:tabs>
            <w:rPr>
              <w:rFonts w:eastAsiaTheme="minorEastAsia"/>
              <w:b w:val="0"/>
              <w:bCs w:val="0"/>
              <w:noProof/>
              <w:sz w:val="24"/>
              <w:szCs w:val="24"/>
            </w:rPr>
          </w:pPr>
          <w:hyperlink w:anchor="_Toc229320762" w:history="1">
            <w:r w:rsidRPr="0079039A">
              <w:rPr>
                <w:rStyle w:val="Hyperlink"/>
                <w:noProof/>
              </w:rPr>
              <w:t>3. Internal Threat Defense (The "Zero-Trust Data Vault")</w:t>
            </w:r>
            <w:r>
              <w:rPr>
                <w:noProof/>
                <w:webHidden/>
              </w:rPr>
              <w:tab/>
            </w:r>
            <w:r>
              <w:rPr>
                <w:noProof/>
                <w:webHidden/>
              </w:rPr>
              <w:fldChar w:fldCharType="begin"/>
            </w:r>
            <w:r>
              <w:rPr>
                <w:noProof/>
                <w:webHidden/>
              </w:rPr>
              <w:instrText xml:space="preserve"> PAGEREF _Toc229320762 \h </w:instrText>
            </w:r>
            <w:r>
              <w:rPr>
                <w:noProof/>
                <w:webHidden/>
              </w:rPr>
            </w:r>
            <w:r>
              <w:rPr>
                <w:noProof/>
                <w:webHidden/>
              </w:rPr>
              <w:fldChar w:fldCharType="separate"/>
            </w:r>
            <w:r>
              <w:rPr>
                <w:noProof/>
                <w:webHidden/>
              </w:rPr>
              <w:t>39</w:t>
            </w:r>
            <w:r>
              <w:rPr>
                <w:noProof/>
                <w:webHidden/>
              </w:rPr>
              <w:fldChar w:fldCharType="end"/>
            </w:r>
          </w:hyperlink>
        </w:p>
        <w:p w14:paraId="411B2134" w14:textId="73F76E4A" w:rsidR="00F63EF2" w:rsidRDefault="00F63EF2">
          <w:pPr>
            <w:pStyle w:val="TOC2"/>
            <w:tabs>
              <w:tab w:val="right" w:leader="dot" w:pos="9926"/>
            </w:tabs>
            <w:rPr>
              <w:rFonts w:eastAsiaTheme="minorEastAsia"/>
              <w:b w:val="0"/>
              <w:bCs w:val="0"/>
              <w:noProof/>
              <w:sz w:val="24"/>
              <w:szCs w:val="24"/>
            </w:rPr>
          </w:pPr>
          <w:hyperlink w:anchor="_Toc229320763" w:history="1">
            <w:r w:rsidRPr="0079039A">
              <w:rPr>
                <w:rStyle w:val="Hyperlink"/>
                <w:noProof/>
              </w:rPr>
              <w:t>4. Competitive Positioning (The "AIVU Gap")</w:t>
            </w:r>
            <w:r>
              <w:rPr>
                <w:noProof/>
                <w:webHidden/>
              </w:rPr>
              <w:tab/>
            </w:r>
            <w:r>
              <w:rPr>
                <w:noProof/>
                <w:webHidden/>
              </w:rPr>
              <w:fldChar w:fldCharType="begin"/>
            </w:r>
            <w:r>
              <w:rPr>
                <w:noProof/>
                <w:webHidden/>
              </w:rPr>
              <w:instrText xml:space="preserve"> PAGEREF _Toc229320763 \h </w:instrText>
            </w:r>
            <w:r>
              <w:rPr>
                <w:noProof/>
                <w:webHidden/>
              </w:rPr>
            </w:r>
            <w:r>
              <w:rPr>
                <w:noProof/>
                <w:webHidden/>
              </w:rPr>
              <w:fldChar w:fldCharType="separate"/>
            </w:r>
            <w:r>
              <w:rPr>
                <w:noProof/>
                <w:webHidden/>
              </w:rPr>
              <w:t>40</w:t>
            </w:r>
            <w:r>
              <w:rPr>
                <w:noProof/>
                <w:webHidden/>
              </w:rPr>
              <w:fldChar w:fldCharType="end"/>
            </w:r>
          </w:hyperlink>
        </w:p>
        <w:p w14:paraId="48D58E19" w14:textId="5000EA65" w:rsidR="00F63EF2" w:rsidRDefault="00F63EF2">
          <w:pPr>
            <w:pStyle w:val="TOC2"/>
            <w:tabs>
              <w:tab w:val="right" w:leader="dot" w:pos="9926"/>
            </w:tabs>
            <w:rPr>
              <w:rFonts w:eastAsiaTheme="minorEastAsia"/>
              <w:b w:val="0"/>
              <w:bCs w:val="0"/>
              <w:noProof/>
              <w:sz w:val="24"/>
              <w:szCs w:val="24"/>
            </w:rPr>
          </w:pPr>
          <w:hyperlink w:anchor="_Toc229320764" w:history="1">
            <w:r w:rsidRPr="0079039A">
              <w:rPr>
                <w:rStyle w:val="Hyperlink"/>
                <w:noProof/>
              </w:rPr>
              <w:t>Node 1: Edge Compute Economics (The HPM)</w:t>
            </w:r>
            <w:r>
              <w:rPr>
                <w:noProof/>
                <w:webHidden/>
              </w:rPr>
              <w:tab/>
            </w:r>
            <w:r>
              <w:rPr>
                <w:noProof/>
                <w:webHidden/>
              </w:rPr>
              <w:fldChar w:fldCharType="begin"/>
            </w:r>
            <w:r>
              <w:rPr>
                <w:noProof/>
                <w:webHidden/>
              </w:rPr>
              <w:instrText xml:space="preserve"> PAGEREF _Toc229320764 \h </w:instrText>
            </w:r>
            <w:r>
              <w:rPr>
                <w:noProof/>
                <w:webHidden/>
              </w:rPr>
            </w:r>
            <w:r>
              <w:rPr>
                <w:noProof/>
                <w:webHidden/>
              </w:rPr>
              <w:fldChar w:fldCharType="separate"/>
            </w:r>
            <w:r>
              <w:rPr>
                <w:noProof/>
                <w:webHidden/>
              </w:rPr>
              <w:t>41</w:t>
            </w:r>
            <w:r>
              <w:rPr>
                <w:noProof/>
                <w:webHidden/>
              </w:rPr>
              <w:fldChar w:fldCharType="end"/>
            </w:r>
          </w:hyperlink>
        </w:p>
        <w:p w14:paraId="43B9367D" w14:textId="320D57F9" w:rsidR="00F63EF2" w:rsidRDefault="00F63EF2">
          <w:pPr>
            <w:pStyle w:val="TOC2"/>
            <w:tabs>
              <w:tab w:val="right" w:leader="dot" w:pos="9926"/>
            </w:tabs>
            <w:rPr>
              <w:rFonts w:eastAsiaTheme="minorEastAsia"/>
              <w:b w:val="0"/>
              <w:bCs w:val="0"/>
              <w:noProof/>
              <w:sz w:val="24"/>
              <w:szCs w:val="24"/>
            </w:rPr>
          </w:pPr>
          <w:hyperlink w:anchor="_Toc229320765" w:history="1">
            <w:r w:rsidRPr="0079039A">
              <w:rPr>
                <w:rStyle w:val="Hyperlink"/>
                <w:noProof/>
              </w:rPr>
              <w:t>Node 2: Cloud Compute Economics (The Big Digital Twin)</w:t>
            </w:r>
            <w:r>
              <w:rPr>
                <w:noProof/>
                <w:webHidden/>
              </w:rPr>
              <w:tab/>
            </w:r>
            <w:r>
              <w:rPr>
                <w:noProof/>
                <w:webHidden/>
              </w:rPr>
              <w:fldChar w:fldCharType="begin"/>
            </w:r>
            <w:r>
              <w:rPr>
                <w:noProof/>
                <w:webHidden/>
              </w:rPr>
              <w:instrText xml:space="preserve"> PAGEREF _Toc229320765 \h </w:instrText>
            </w:r>
            <w:r>
              <w:rPr>
                <w:noProof/>
                <w:webHidden/>
              </w:rPr>
            </w:r>
            <w:r>
              <w:rPr>
                <w:noProof/>
                <w:webHidden/>
              </w:rPr>
              <w:fldChar w:fldCharType="separate"/>
            </w:r>
            <w:r>
              <w:rPr>
                <w:noProof/>
                <w:webHidden/>
              </w:rPr>
              <w:t>41</w:t>
            </w:r>
            <w:r>
              <w:rPr>
                <w:noProof/>
                <w:webHidden/>
              </w:rPr>
              <w:fldChar w:fldCharType="end"/>
            </w:r>
          </w:hyperlink>
        </w:p>
        <w:p w14:paraId="336C3858" w14:textId="7A50A829" w:rsidR="00F63EF2" w:rsidRDefault="00F63EF2">
          <w:pPr>
            <w:pStyle w:val="TOC2"/>
            <w:tabs>
              <w:tab w:val="right" w:leader="dot" w:pos="9926"/>
            </w:tabs>
            <w:rPr>
              <w:rFonts w:eastAsiaTheme="minorEastAsia"/>
              <w:b w:val="0"/>
              <w:bCs w:val="0"/>
              <w:noProof/>
              <w:sz w:val="24"/>
              <w:szCs w:val="24"/>
            </w:rPr>
          </w:pPr>
          <w:hyperlink w:anchor="_Toc229320766" w:history="1">
            <w:r w:rsidRPr="0079039A">
              <w:rPr>
                <w:rStyle w:val="Hyperlink"/>
                <w:noProof/>
              </w:rPr>
              <w:t>Node 3: The Clearinghouse (Agentic Customer Servicing)</w:t>
            </w:r>
            <w:r>
              <w:rPr>
                <w:noProof/>
                <w:webHidden/>
              </w:rPr>
              <w:tab/>
            </w:r>
            <w:r>
              <w:rPr>
                <w:noProof/>
                <w:webHidden/>
              </w:rPr>
              <w:fldChar w:fldCharType="begin"/>
            </w:r>
            <w:r>
              <w:rPr>
                <w:noProof/>
                <w:webHidden/>
              </w:rPr>
              <w:instrText xml:space="preserve"> PAGEREF _Toc229320766 \h </w:instrText>
            </w:r>
            <w:r>
              <w:rPr>
                <w:noProof/>
                <w:webHidden/>
              </w:rPr>
            </w:r>
            <w:r>
              <w:rPr>
                <w:noProof/>
                <w:webHidden/>
              </w:rPr>
              <w:fldChar w:fldCharType="separate"/>
            </w:r>
            <w:r>
              <w:rPr>
                <w:noProof/>
                <w:webHidden/>
              </w:rPr>
              <w:t>42</w:t>
            </w:r>
            <w:r>
              <w:rPr>
                <w:noProof/>
                <w:webHidden/>
              </w:rPr>
              <w:fldChar w:fldCharType="end"/>
            </w:r>
          </w:hyperlink>
        </w:p>
        <w:p w14:paraId="59BA6720" w14:textId="36A26109" w:rsidR="00F63EF2" w:rsidRDefault="00F63EF2">
          <w:pPr>
            <w:pStyle w:val="TOC2"/>
            <w:tabs>
              <w:tab w:val="right" w:leader="dot" w:pos="9926"/>
            </w:tabs>
            <w:rPr>
              <w:rFonts w:eastAsiaTheme="minorEastAsia"/>
              <w:b w:val="0"/>
              <w:bCs w:val="0"/>
              <w:noProof/>
              <w:sz w:val="24"/>
              <w:szCs w:val="24"/>
            </w:rPr>
          </w:pPr>
          <w:hyperlink w:anchor="_Toc229320767" w:history="1">
            <w:r w:rsidRPr="0079039A">
              <w:rPr>
                <w:rStyle w:val="Hyperlink"/>
                <w:noProof/>
              </w:rPr>
              <w:t>6. The Integrity Model</w:t>
            </w:r>
            <w:r>
              <w:rPr>
                <w:noProof/>
                <w:webHidden/>
              </w:rPr>
              <w:tab/>
            </w:r>
            <w:r>
              <w:rPr>
                <w:noProof/>
                <w:webHidden/>
              </w:rPr>
              <w:fldChar w:fldCharType="begin"/>
            </w:r>
            <w:r>
              <w:rPr>
                <w:noProof/>
                <w:webHidden/>
              </w:rPr>
              <w:instrText xml:space="preserve"> PAGEREF _Toc229320767 \h </w:instrText>
            </w:r>
            <w:r>
              <w:rPr>
                <w:noProof/>
                <w:webHidden/>
              </w:rPr>
            </w:r>
            <w:r>
              <w:rPr>
                <w:noProof/>
                <w:webHidden/>
              </w:rPr>
              <w:fldChar w:fldCharType="separate"/>
            </w:r>
            <w:r>
              <w:rPr>
                <w:noProof/>
                <w:webHidden/>
              </w:rPr>
              <w:t>42</w:t>
            </w:r>
            <w:r>
              <w:rPr>
                <w:noProof/>
                <w:webHidden/>
              </w:rPr>
              <w:fldChar w:fldCharType="end"/>
            </w:r>
          </w:hyperlink>
        </w:p>
        <w:p w14:paraId="5F132AB0" w14:textId="302073C5" w:rsidR="00F63EF2" w:rsidRDefault="00F63EF2">
          <w:pPr>
            <w:pStyle w:val="TOC3"/>
            <w:tabs>
              <w:tab w:val="right" w:leader="dot" w:pos="9926"/>
            </w:tabs>
            <w:rPr>
              <w:rFonts w:eastAsiaTheme="minorEastAsia"/>
              <w:noProof/>
              <w:sz w:val="24"/>
              <w:szCs w:val="24"/>
            </w:rPr>
          </w:pPr>
          <w:hyperlink w:anchor="_Toc229320768" w:history="1">
            <w:r w:rsidRPr="0079039A">
              <w:rPr>
                <w:rStyle w:val="Hyperlink"/>
                <w:b/>
                <w:bCs/>
                <w:noProof/>
              </w:rPr>
              <w:t>6.1 Commitment Primitive: Merkle Mountain Range</w:t>
            </w:r>
            <w:r>
              <w:rPr>
                <w:noProof/>
                <w:webHidden/>
              </w:rPr>
              <w:tab/>
            </w:r>
            <w:r>
              <w:rPr>
                <w:noProof/>
                <w:webHidden/>
              </w:rPr>
              <w:fldChar w:fldCharType="begin"/>
            </w:r>
            <w:r>
              <w:rPr>
                <w:noProof/>
                <w:webHidden/>
              </w:rPr>
              <w:instrText xml:space="preserve"> PAGEREF _Toc229320768 \h </w:instrText>
            </w:r>
            <w:r>
              <w:rPr>
                <w:noProof/>
                <w:webHidden/>
              </w:rPr>
            </w:r>
            <w:r>
              <w:rPr>
                <w:noProof/>
                <w:webHidden/>
              </w:rPr>
              <w:fldChar w:fldCharType="separate"/>
            </w:r>
            <w:r>
              <w:rPr>
                <w:noProof/>
                <w:webHidden/>
              </w:rPr>
              <w:t>43</w:t>
            </w:r>
            <w:r>
              <w:rPr>
                <w:noProof/>
                <w:webHidden/>
              </w:rPr>
              <w:fldChar w:fldCharType="end"/>
            </w:r>
          </w:hyperlink>
        </w:p>
        <w:p w14:paraId="7D5989A3" w14:textId="4FEDAA97" w:rsidR="00F63EF2" w:rsidRDefault="00F63EF2">
          <w:pPr>
            <w:pStyle w:val="TOC3"/>
            <w:tabs>
              <w:tab w:val="right" w:leader="dot" w:pos="9926"/>
            </w:tabs>
            <w:rPr>
              <w:rFonts w:eastAsiaTheme="minorEastAsia"/>
              <w:noProof/>
              <w:sz w:val="24"/>
              <w:szCs w:val="24"/>
            </w:rPr>
          </w:pPr>
          <w:hyperlink w:anchor="_Toc229320769" w:history="1">
            <w:r w:rsidRPr="0079039A">
              <w:rPr>
                <w:rStyle w:val="Hyperlink"/>
                <w:b/>
                <w:bCs/>
                <w:noProof/>
              </w:rPr>
              <w:t>6.2 Two-Tier Signing</w:t>
            </w:r>
            <w:r>
              <w:rPr>
                <w:noProof/>
                <w:webHidden/>
              </w:rPr>
              <w:tab/>
            </w:r>
            <w:r>
              <w:rPr>
                <w:noProof/>
                <w:webHidden/>
              </w:rPr>
              <w:fldChar w:fldCharType="begin"/>
            </w:r>
            <w:r>
              <w:rPr>
                <w:noProof/>
                <w:webHidden/>
              </w:rPr>
              <w:instrText xml:space="preserve"> PAGEREF _Toc229320769 \h </w:instrText>
            </w:r>
            <w:r>
              <w:rPr>
                <w:noProof/>
                <w:webHidden/>
              </w:rPr>
            </w:r>
            <w:r>
              <w:rPr>
                <w:noProof/>
                <w:webHidden/>
              </w:rPr>
              <w:fldChar w:fldCharType="separate"/>
            </w:r>
            <w:r>
              <w:rPr>
                <w:noProof/>
                <w:webHidden/>
              </w:rPr>
              <w:t>43</w:t>
            </w:r>
            <w:r>
              <w:rPr>
                <w:noProof/>
                <w:webHidden/>
              </w:rPr>
              <w:fldChar w:fldCharType="end"/>
            </w:r>
          </w:hyperlink>
        </w:p>
        <w:p w14:paraId="6F021B09" w14:textId="490F8CAA" w:rsidR="00F63EF2" w:rsidRDefault="00F63EF2">
          <w:pPr>
            <w:pStyle w:val="TOC3"/>
            <w:tabs>
              <w:tab w:val="right" w:leader="dot" w:pos="9926"/>
            </w:tabs>
            <w:rPr>
              <w:rFonts w:eastAsiaTheme="minorEastAsia"/>
              <w:noProof/>
              <w:sz w:val="24"/>
              <w:szCs w:val="24"/>
            </w:rPr>
          </w:pPr>
          <w:hyperlink w:anchor="_Toc229320770" w:history="1">
            <w:r w:rsidRPr="0079039A">
              <w:rPr>
                <w:rStyle w:val="Hyperlink"/>
                <w:b/>
                <w:bCs/>
                <w:noProof/>
              </w:rPr>
              <w:t>6.3 Public Anchoring: OpenTimestamps to Bitcoin</w:t>
            </w:r>
            <w:r>
              <w:rPr>
                <w:noProof/>
                <w:webHidden/>
              </w:rPr>
              <w:tab/>
            </w:r>
            <w:r>
              <w:rPr>
                <w:noProof/>
                <w:webHidden/>
              </w:rPr>
              <w:fldChar w:fldCharType="begin"/>
            </w:r>
            <w:r>
              <w:rPr>
                <w:noProof/>
                <w:webHidden/>
              </w:rPr>
              <w:instrText xml:space="preserve"> PAGEREF _Toc229320770 \h </w:instrText>
            </w:r>
            <w:r>
              <w:rPr>
                <w:noProof/>
                <w:webHidden/>
              </w:rPr>
            </w:r>
            <w:r>
              <w:rPr>
                <w:noProof/>
                <w:webHidden/>
              </w:rPr>
              <w:fldChar w:fldCharType="separate"/>
            </w:r>
            <w:r>
              <w:rPr>
                <w:noProof/>
                <w:webHidden/>
              </w:rPr>
              <w:t>43</w:t>
            </w:r>
            <w:r>
              <w:rPr>
                <w:noProof/>
                <w:webHidden/>
              </w:rPr>
              <w:fldChar w:fldCharType="end"/>
            </w:r>
          </w:hyperlink>
        </w:p>
        <w:p w14:paraId="3ED42CF8" w14:textId="737FD76D" w:rsidR="00F63EF2" w:rsidRDefault="00F63EF2">
          <w:pPr>
            <w:pStyle w:val="TOC3"/>
            <w:tabs>
              <w:tab w:val="right" w:leader="dot" w:pos="9926"/>
            </w:tabs>
            <w:rPr>
              <w:rFonts w:eastAsiaTheme="minorEastAsia"/>
              <w:noProof/>
              <w:sz w:val="24"/>
              <w:szCs w:val="24"/>
            </w:rPr>
          </w:pPr>
          <w:hyperlink w:anchor="_Toc229320771" w:history="1">
            <w:r w:rsidRPr="0079039A">
              <w:rPr>
                <w:rStyle w:val="Hyperlink"/>
                <w:b/>
                <w:bCs/>
                <w:noProof/>
              </w:rPr>
              <w:t>6.4 Data Residency and Replication</w:t>
            </w:r>
            <w:r>
              <w:rPr>
                <w:noProof/>
                <w:webHidden/>
              </w:rPr>
              <w:tab/>
            </w:r>
            <w:r>
              <w:rPr>
                <w:noProof/>
                <w:webHidden/>
              </w:rPr>
              <w:fldChar w:fldCharType="begin"/>
            </w:r>
            <w:r>
              <w:rPr>
                <w:noProof/>
                <w:webHidden/>
              </w:rPr>
              <w:instrText xml:space="preserve"> PAGEREF _Toc229320771 \h </w:instrText>
            </w:r>
            <w:r>
              <w:rPr>
                <w:noProof/>
                <w:webHidden/>
              </w:rPr>
            </w:r>
            <w:r>
              <w:rPr>
                <w:noProof/>
                <w:webHidden/>
              </w:rPr>
              <w:fldChar w:fldCharType="separate"/>
            </w:r>
            <w:r>
              <w:rPr>
                <w:noProof/>
                <w:webHidden/>
              </w:rPr>
              <w:t>44</w:t>
            </w:r>
            <w:r>
              <w:rPr>
                <w:noProof/>
                <w:webHidden/>
              </w:rPr>
              <w:fldChar w:fldCharType="end"/>
            </w:r>
          </w:hyperlink>
        </w:p>
        <w:p w14:paraId="6CCDF3F1" w14:textId="4570298D" w:rsidR="00F63EF2" w:rsidRDefault="00F63EF2">
          <w:pPr>
            <w:pStyle w:val="TOC3"/>
            <w:tabs>
              <w:tab w:val="right" w:leader="dot" w:pos="9926"/>
            </w:tabs>
            <w:rPr>
              <w:rFonts w:eastAsiaTheme="minorEastAsia"/>
              <w:noProof/>
              <w:sz w:val="24"/>
              <w:szCs w:val="24"/>
            </w:rPr>
          </w:pPr>
          <w:hyperlink w:anchor="_Toc229320772" w:history="1">
            <w:r w:rsidRPr="0079039A">
              <w:rPr>
                <w:rStyle w:val="Hyperlink"/>
                <w:b/>
                <w:bCs/>
                <w:noProof/>
              </w:rPr>
              <w:t>6.5 The aivu_integrity Package and the Open-Source Verification Library</w:t>
            </w:r>
            <w:r>
              <w:rPr>
                <w:noProof/>
                <w:webHidden/>
              </w:rPr>
              <w:tab/>
            </w:r>
            <w:r>
              <w:rPr>
                <w:noProof/>
                <w:webHidden/>
              </w:rPr>
              <w:fldChar w:fldCharType="begin"/>
            </w:r>
            <w:r>
              <w:rPr>
                <w:noProof/>
                <w:webHidden/>
              </w:rPr>
              <w:instrText xml:space="preserve"> PAGEREF _Toc229320772 \h </w:instrText>
            </w:r>
            <w:r>
              <w:rPr>
                <w:noProof/>
                <w:webHidden/>
              </w:rPr>
            </w:r>
            <w:r>
              <w:rPr>
                <w:noProof/>
                <w:webHidden/>
              </w:rPr>
              <w:fldChar w:fldCharType="separate"/>
            </w:r>
            <w:r>
              <w:rPr>
                <w:noProof/>
                <w:webHidden/>
              </w:rPr>
              <w:t>44</w:t>
            </w:r>
            <w:r>
              <w:rPr>
                <w:noProof/>
                <w:webHidden/>
              </w:rPr>
              <w:fldChar w:fldCharType="end"/>
            </w:r>
          </w:hyperlink>
        </w:p>
        <w:p w14:paraId="34145A30" w14:textId="6ECA5748" w:rsidR="00F63EF2" w:rsidRDefault="00F63EF2">
          <w:pPr>
            <w:pStyle w:val="TOC1"/>
            <w:tabs>
              <w:tab w:val="right" w:leader="dot" w:pos="9926"/>
            </w:tabs>
            <w:rPr>
              <w:rFonts w:eastAsiaTheme="minorEastAsia"/>
              <w:b w:val="0"/>
              <w:bCs w:val="0"/>
              <w:i w:val="0"/>
              <w:iCs w:val="0"/>
              <w:noProof/>
            </w:rPr>
          </w:pPr>
          <w:hyperlink w:anchor="_Toc229320773" w:history="1">
            <w:r w:rsidRPr="0079039A">
              <w:rPr>
                <w:rStyle w:val="Hyperlink"/>
                <w:noProof/>
              </w:rPr>
              <w:t>Edge-Case Coverage and the Two Liability-Protection Mechanisms</w:t>
            </w:r>
            <w:r>
              <w:rPr>
                <w:noProof/>
                <w:webHidden/>
              </w:rPr>
              <w:tab/>
            </w:r>
            <w:r>
              <w:rPr>
                <w:noProof/>
                <w:webHidden/>
              </w:rPr>
              <w:fldChar w:fldCharType="begin"/>
            </w:r>
            <w:r>
              <w:rPr>
                <w:noProof/>
                <w:webHidden/>
              </w:rPr>
              <w:instrText xml:space="preserve"> PAGEREF _Toc229320773 \h </w:instrText>
            </w:r>
            <w:r>
              <w:rPr>
                <w:noProof/>
                <w:webHidden/>
              </w:rPr>
            </w:r>
            <w:r>
              <w:rPr>
                <w:noProof/>
                <w:webHidden/>
              </w:rPr>
              <w:fldChar w:fldCharType="separate"/>
            </w:r>
            <w:r>
              <w:rPr>
                <w:noProof/>
                <w:webHidden/>
              </w:rPr>
              <w:t>45</w:t>
            </w:r>
            <w:r>
              <w:rPr>
                <w:noProof/>
                <w:webHidden/>
              </w:rPr>
              <w:fldChar w:fldCharType="end"/>
            </w:r>
          </w:hyperlink>
        </w:p>
        <w:p w14:paraId="716F4F30" w14:textId="63834849" w:rsidR="00F63EF2" w:rsidRDefault="00F63EF2">
          <w:r>
            <w:rPr>
              <w:b/>
              <w:bCs/>
              <w:noProof/>
            </w:rPr>
            <w:fldChar w:fldCharType="end"/>
          </w:r>
        </w:p>
      </w:sdtContent>
    </w:sdt>
    <w:p w14:paraId="36827DA3" w14:textId="77777777" w:rsidR="00E44DE0" w:rsidRDefault="00E44DE0">
      <w:pPr>
        <w:rPr>
          <w:b/>
          <w:bCs/>
        </w:rPr>
      </w:pPr>
    </w:p>
    <w:p w14:paraId="471A972D" w14:textId="77777777" w:rsidR="00E44DE0" w:rsidRDefault="00E44DE0">
      <w:pPr>
        <w:rPr>
          <w:sz w:val="28"/>
          <w:szCs w:val="28"/>
        </w:rPr>
      </w:pPr>
    </w:p>
    <w:p w14:paraId="622685B1" w14:textId="77777777" w:rsidR="00E44DE0" w:rsidRDefault="00E44DE0">
      <w:pPr>
        <w:rPr>
          <w:sz w:val="28"/>
          <w:szCs w:val="28"/>
        </w:rPr>
      </w:pPr>
    </w:p>
    <w:p w14:paraId="7AE3CA2A" w14:textId="77777777" w:rsidR="00E44DE0" w:rsidRDefault="00000000">
      <w:pPr>
        <w:pStyle w:val="Heading1"/>
        <w:rPr>
          <w:sz w:val="28"/>
          <w:szCs w:val="28"/>
        </w:rPr>
      </w:pPr>
      <w:bookmarkStart w:id="0" w:name="_Toc229320674"/>
      <w:r>
        <w:rPr>
          <w:b/>
          <w:bCs/>
          <w:sz w:val="32"/>
          <w:szCs w:val="32"/>
        </w:rPr>
        <w:lastRenderedPageBreak/>
        <w:t>Overview</w:t>
      </w:r>
      <w:bookmarkEnd w:id="0"/>
    </w:p>
    <w:p w14:paraId="0FCF988F" w14:textId="77777777" w:rsidR="00E44DE0" w:rsidRDefault="00000000">
      <w:r>
        <w:rPr>
          <w:b/>
          <w:bCs/>
        </w:rPr>
        <w:t>Unified Physics and Institutional Blueprint</w:t>
      </w:r>
    </w:p>
    <w:p w14:paraId="2A1C5D9F" w14:textId="77777777" w:rsidR="00E44DE0" w:rsidRDefault="00000000">
      <w:r>
        <w:t>The residential real estate market of the United States operates in a state of systemic data blindness. Currently the industry relies on prescriptive models and static simulations that commonly deviate from real-life performance by more than twenty percent. Historically, simulations used to design the building envelope and those used to size the HVAC system have been heavily interdependent, resulting in a "compound fracture" when measuring eventual performance under real-life operating conditions.</w:t>
      </w:r>
    </w:p>
    <w:p w14:paraId="1D407508" w14:textId="77777777" w:rsidR="00E44DE0" w:rsidRDefault="00000000">
      <w:r>
        <w:t>AIVU rectifies this long-standing defect through a unified system architecture that rigidly separates envelope performance from HVAC performance, verifying each individually through continuous, empirical measurement. To achieve this, AIVU relies on a distributed computing architecture that splits intelligence across three primary nodes: the Physical Edge, the Cloud, and the Institutional Clearinghouse.</w:t>
      </w:r>
    </w:p>
    <w:p w14:paraId="4CD66655" w14:textId="77777777" w:rsidR="00E44DE0" w:rsidRDefault="00000000">
      <w:pPr>
        <w:pStyle w:val="Heading2"/>
      </w:pPr>
      <w:bookmarkStart w:id="1" w:name="_Toc229320675"/>
      <w:r>
        <w:rPr>
          <w:b/>
          <w:bCs/>
        </w:rPr>
        <w:t>Node 1: Capturing Physical Reality at the Edge</w:t>
      </w:r>
      <w:bookmarkEnd w:id="1"/>
      <w:r>
        <w:t xml:space="preserve"> </w:t>
      </w:r>
    </w:p>
    <w:p w14:paraId="5820AE15" w14:textId="77777777" w:rsidR="00E44DE0" w:rsidRDefault="00000000">
      <w:r>
        <w:t xml:space="preserve">The foundation of the AIVU architecture is the Home Performance Manager (HPM), an industrial edge computer embedded directly into participating homes. The hardware is specified by capability rather than by instruction set: a multi-core SoC capable of running Linux (preferably PREEMPT_RT) with hardware floating-point and SIMD, at least 2 GB RAM (4–8 GB preferred), at least 32 GB industrial flash, sub-100 </w:t>
      </w:r>
      <w:proofErr w:type="spellStart"/>
      <w:r>
        <w:t>ms</w:t>
      </w:r>
      <w:proofErr w:type="spellEnd"/>
      <w:r>
        <w:t xml:space="preserve"> determinism for the real-time path, hardware root of trust, and a ten-plus-year vendor availability commitment. ARM Cortex-A class hardware satisfies this spec; </w:t>
      </w:r>
      <w:proofErr w:type="gramStart"/>
      <w:r>
        <w:t>so</w:t>
      </w:r>
      <w:proofErr w:type="gramEnd"/>
      <w:r>
        <w:t xml:space="preserve"> do x86 industrial SBCs and emerging RISC-V industrial parts. Unlike passive consumer thermostats, the HPM executes a fast, deterministic real-time control loop using certainty-equivalent controller parameters received from the Big Digital Twin and signed by the Clearinghouse. This is one half of a two-speed control structure: a fast local loop on the HPM, a slow cloud loop in the BDT. </w:t>
      </w:r>
      <w:r>
        <w:br/>
        <w:t>Operating strictly inside the local network boundary, the HPM ingests 1 Hz telemetry from the physical plant (Eaton Load Center power draw, supply-tail Venturi airflow, and return T/RH) and runs a bounded classical MRAC inner loop — a fast local control loop that handles short-term disturbances between cloud updates. The PINN — the learned plant model — lives entirely in the Big Digital Twin, not on the HPM. The HPM receives only a compact set of controller parameters distilled from the current PINN model, signed by the Clearinghouse. This keeps the edge deterministic and real-time safe. Local adjudication on the HPM is limited to real-time Choice-vs-Failure event flagging; the higher-fidelity Vector Subtraction adjudication that produces the Normalized Physics Feed runs in the Clearinghouse, not on the HPM.</w:t>
      </w:r>
    </w:p>
    <w:p w14:paraId="78C34859" w14:textId="77777777" w:rsidR="00E44DE0" w:rsidRDefault="00000000">
      <w:r>
        <w:t xml:space="preserve">To capture the physical truth of what happens in  home, the HPM calibrates the physical HVAC system to serve as a high-fidelity measurement instrument. It utilizes a proprietary Venturi at the supply duct tail (co-located with supply-side T/RH at the Mixed Air Truth point) to quantify true </w:t>
      </w:r>
      <w:r>
        <w:lastRenderedPageBreak/>
        <w:t>mass airflow and supply-side enthalpy, paired with an in-duct T/RH probe on the return side — mass flow through the coil is obtained by continuity, so no return-side Venturi is needed or used. Simultaneously, it acquires electrical consumption data from Eaton smart circuit breakers every second. By continuously converting the electrical watts of internal appliances into thermal BTUs, the HPM subtracts this internal heat load from the total thermal load measured by the HVAC system. The result is the fully isolated building envelope performance, continuously tracked as such for the first time in production homebuilding.</w:t>
      </w:r>
    </w:p>
    <w:p w14:paraId="76BB6DAC" w14:textId="77777777" w:rsidR="00E44DE0" w:rsidRDefault="00000000">
      <w:pPr>
        <w:pStyle w:val="Heading2"/>
      </w:pPr>
      <w:bookmarkStart w:id="2" w:name="_Toc229320676"/>
      <w:r>
        <w:rPr>
          <w:b/>
          <w:bCs/>
        </w:rPr>
        <w:t>Node 2: Orchestration via the Big Digital Twin</w:t>
      </w:r>
      <w:bookmarkEnd w:id="2"/>
      <w:r>
        <w:t xml:space="preserve"> </w:t>
      </w:r>
    </w:p>
    <w:p w14:paraId="0F6B5C8B" w14:textId="77777777" w:rsidR="00E44DE0" w:rsidRDefault="00000000">
      <w:r>
        <w:t xml:space="preserve">Data captured at the property level must be processed without exponentially rising computing expenses in the cloud. This is achieved via the Big Digital Twin (BDT), the slow, computationally intensive learning engine that hosts the PINN and retrains it on accumulated cohort data on the order of hours to days. Before a home is even built, the BDT transforms 2D architectural PDFs into 3D models via </w:t>
      </w:r>
      <w:proofErr w:type="spellStart"/>
      <w:r>
        <w:t>gbXML</w:t>
      </w:r>
      <w:proofErr w:type="spellEnd"/>
      <w:r>
        <w:t xml:space="preserve"> files that describe all aspects of a building. The BDT then runs an 8,760-hour synthetic profile that covers all four seasons of local weather to generate a “Born Educated” baseline. This baseline initializes the PINN in the BDT, from which certainty-equivalent controller parameters are distilled and pushed down to the HPM.</w:t>
      </w:r>
    </w:p>
    <w:p w14:paraId="24C9FA1E" w14:textId="77777777" w:rsidR="00E44DE0" w:rsidRDefault="00000000">
      <w:r>
        <w:t xml:space="preserve">Operating asynchronously, the Big Digital Twin acts as the macroscopic aggregator for the specific building cohort. Its primary function is the continuous refinement of the PINN — AIVU’s learned model of how the home </w:t>
      </w:r>
      <w:proofErr w:type="gramStart"/>
      <w:r>
        <w:t>actually behaves</w:t>
      </w:r>
      <w:proofErr w:type="gramEnd"/>
      <w:r>
        <w:t xml:space="preserve"> — trained on envelope posteriors uplinked from the edge fleet by the HPM-resident grey-box identifier (</w:t>
      </w:r>
      <w:proofErr w:type="spellStart"/>
      <w:r>
        <w:t>aivu_greybox</w:t>
      </w:r>
      <w:proofErr w:type="spellEnd"/>
      <w:r>
        <w:t xml:space="preserve">), with raw 1 Hz telemetry served on demand for verification rather than streamed continuously. By identifying parameter drifts across the cohort, the BDT retrains the PINN and produces updated certainty-equivalent controller parameters, which are signed through 2-of-3 threshold attestation across HPM, BDT, and Clearinghouse and pushed down to the HPMs. Note: </w:t>
      </w:r>
      <w:proofErr w:type="gramStart"/>
      <w:r>
        <w:t>the</w:t>
      </w:r>
      <w:proofErr w:type="gramEnd"/>
      <w:r>
        <w:t xml:space="preserve"> Reference Model “R” is an authored desired-behavior spec, not a learned artifact; the BDT refines the PINN (the learned plant model P̂), not R.</w:t>
      </w:r>
    </w:p>
    <w:p w14:paraId="738D1E85" w14:textId="77777777" w:rsidR="00E44DE0" w:rsidRDefault="00000000">
      <w:r>
        <w:t>As homes become active online, the Big Digital Twin manages scale effectively through hierarchical inheritance and multi-dimensional matrix slicing. Once a cohort crosses a statistically mature threshold of ninety active homes (N=90), it achieves "Actuarial Maturity Validation" with its own autonomous Master Reference Model. This way, all homes are eventually grouped into hyper-local cohorts.  When broad physical adjustments are required, the Big Digital Twin utilizes a graph database to execute "Atomic Parameter Propagation," pushing discrete coefficient updates down to the edge fleet without the need to re-simulate individual files.</w:t>
      </w:r>
    </w:p>
    <w:p w14:paraId="07D8DB6A" w14:textId="77777777" w:rsidR="00E44DE0" w:rsidRDefault="00000000">
      <w:pPr>
        <w:pStyle w:val="Heading2"/>
      </w:pPr>
      <w:bookmarkStart w:id="3" w:name="_Toc229320677"/>
      <w:r>
        <w:rPr>
          <w:b/>
          <w:bCs/>
        </w:rPr>
        <w:t>Node 3: Adjudication within the Clearinghouse</w:t>
      </w:r>
      <w:bookmarkEnd w:id="3"/>
      <w:r>
        <w:t xml:space="preserve"> </w:t>
      </w:r>
    </w:p>
    <w:p w14:paraId="2566382B" w14:textId="77777777" w:rsidR="00E44DE0" w:rsidRDefault="00000000">
      <w:r>
        <w:t xml:space="preserve">The final node is the Neutral Third-Party Clearinghouse, which refines raw telemetry into objective, financial-grade evidence. The core of this clearinghouse is the Adjudication Engine, which performs real-time vector subtraction to isolate intentional human behavioral "noise" from </w:t>
      </w:r>
      <w:r>
        <w:lastRenderedPageBreak/>
        <w:t>objective physical asset performance. By correlating performance deltas against a history of setpoint adjustments, the engine mathematically distinguishes between an occupant's choice and a structural failure. Tamper-evidence and origination provenance of the underlying data are properties of the data itself — established by per-packet HPM signatures, MMR commitment, and 2-of-3 threshold attestation across HPM, BDT, and Clearinghouse — not properties asserted by the Clearinghouse alone. The Clearinghouse is a peer recipient and the primary venue for adjudication, not the exclusive custodian of integrity (see §6, The Integrity Model).</w:t>
      </w:r>
    </w:p>
    <w:p w14:paraId="5D85881C" w14:textId="77777777" w:rsidR="00E44DE0" w:rsidRDefault="00000000">
      <w:r>
        <w:t>To guarantee the validity of this data, the Clearinghouse enforces a strict Integrity Layer. It continuously runs 1Hz source data packets through the First Law of Thermodynamics</w:t>
      </w:r>
      <w:r>
        <w:br/>
      </w:r>
      <w:proofErr w:type="spellStart"/>
      <w:r>
        <w:rPr>
          <w:i/>
          <w:iCs/>
        </w:rPr>
        <w:t>Energy_In</w:t>
      </w:r>
      <w:proofErr w:type="spellEnd"/>
      <w:r>
        <w:rPr>
          <w:i/>
          <w:iCs/>
        </w:rPr>
        <w:t xml:space="preserve"> = </w:t>
      </w:r>
      <w:proofErr w:type="spellStart"/>
      <w:r>
        <w:rPr>
          <w:i/>
          <w:iCs/>
        </w:rPr>
        <w:t>Work_Done</w:t>
      </w:r>
      <w:proofErr w:type="spellEnd"/>
      <w:r>
        <w:rPr>
          <w:i/>
          <w:iCs/>
        </w:rPr>
        <w:t xml:space="preserve"> +</w:t>
      </w:r>
      <w:proofErr w:type="spellStart"/>
      <w:r>
        <w:rPr>
          <w:i/>
          <w:iCs/>
        </w:rPr>
        <w:t>Heat_Removed</w:t>
      </w:r>
      <w:proofErr w:type="spellEnd"/>
      <w:r>
        <w:br/>
        <w:t>This acts as a physics-based lie detector, immediately flagging entropy violations, vendor fraud, or sensor manipulation.</w:t>
      </w:r>
    </w:p>
    <w:p w14:paraId="66C386BE" w14:textId="77777777" w:rsidR="00E44DE0" w:rsidRDefault="00000000">
      <w:pPr>
        <w:pStyle w:val="Heading1"/>
      </w:pPr>
      <w:bookmarkStart w:id="4" w:name="_Toc229320678"/>
      <w:r>
        <w:rPr>
          <w:b/>
          <w:bCs/>
        </w:rPr>
        <w:t>The Architecture of Irreversibility</w:t>
      </w:r>
      <w:bookmarkEnd w:id="4"/>
      <w:r>
        <w:t xml:space="preserve"> </w:t>
      </w:r>
    </w:p>
    <w:p w14:paraId="7615086D" w14:textId="77777777" w:rsidR="00E44DE0" w:rsidRDefault="00000000">
      <w:r>
        <w:t>Because AIVU operates as a neutral, third-party clearinghouse, the system implements fundamental protection of its source data. It employs "Atomic Decoupling" and a "Permutation Guard" to block fraudulent query correlations designed to triangulate a home's identity via external market data. Institutional customers are never provided with raw ingredients; they receive heavily refined, normalized physics feeds wrapped in a Certifiable Audit Trail. This mathematically and cryptographically secures the system, preventing external actors from reverse-engineering our foundational physics-based models.</w:t>
      </w:r>
    </w:p>
    <w:p w14:paraId="1FF142E6" w14:textId="77777777" w:rsidR="00E44DE0" w:rsidRDefault="00000000">
      <w:r>
        <w:t>Ultimately, this unified architecture replaces perfunctory, one-time commissioning snapshots with an unbroken, continuous chain of custody. It translates basic, verifiable physics into actionable operational truth for the entire residential asset lifecycle.</w:t>
      </w:r>
    </w:p>
    <w:p w14:paraId="05A02A6E" w14:textId="77777777" w:rsidR="00E44DE0" w:rsidRDefault="00E44DE0"/>
    <w:p w14:paraId="6C886C44" w14:textId="77777777" w:rsidR="00E44DE0" w:rsidRDefault="00E44DE0"/>
    <w:p w14:paraId="48AE5048" w14:textId="77777777" w:rsidR="00E44DE0" w:rsidRDefault="00000000">
      <w:pPr>
        <w:pStyle w:val="Heading1"/>
        <w:rPr>
          <w:b/>
          <w:bCs/>
          <w:sz w:val="32"/>
          <w:szCs w:val="32"/>
        </w:rPr>
      </w:pPr>
      <w:bookmarkStart w:id="5" w:name="_Toc229320679"/>
      <w:r>
        <w:rPr>
          <w:b/>
          <w:bCs/>
          <w:sz w:val="32"/>
          <w:szCs w:val="32"/>
        </w:rPr>
        <w:t>Functional Requirement Definitions</w:t>
      </w:r>
      <w:bookmarkEnd w:id="5"/>
    </w:p>
    <w:p w14:paraId="624AC36E" w14:textId="77777777" w:rsidR="00E44DE0" w:rsidRDefault="00000000">
      <w:r>
        <w:t>Note on phase numbering: "Phase 0" through "Phase 3" in the HPM and Big Digital Twin sections refer to the AIVU technical lifecycle (Off-Site Birth, Install &amp; Commissioning, Continuous Operation, Cohort Intelligence). The separate "10-Phase Lifecycle" in Section 4 of the Clearinghouse refers to the commercial lifecycle of the residential asset (Planning through Resale). The two are orthogonal and intentionally use different numbering.</w:t>
      </w:r>
      <w:r>
        <w:br/>
      </w:r>
      <w:r>
        <w:br/>
        <w:t xml:space="preserve">Note on the AIVU package family: </w:t>
      </w:r>
      <w:proofErr w:type="spellStart"/>
      <w:r>
        <w:t>aivu_physics</w:t>
      </w:r>
      <w:proofErr w:type="spellEnd"/>
      <w:r>
        <w:t xml:space="preserve"> covers quasi-steady forward physics; </w:t>
      </w:r>
      <w:proofErr w:type="spellStart"/>
      <w:r>
        <w:t>aivu_dynamic</w:t>
      </w:r>
      <w:proofErr w:type="spellEnd"/>
      <w:r>
        <w:t xml:space="preserve"> covers time-domain forward physics; </w:t>
      </w:r>
      <w:proofErr w:type="spellStart"/>
      <w:r>
        <w:t>aivu_corpus</w:t>
      </w:r>
      <w:proofErr w:type="spellEnd"/>
      <w:r>
        <w:t xml:space="preserve"> orchestrates synthetic-data </w:t>
      </w:r>
      <w:r>
        <w:lastRenderedPageBreak/>
        <w:t xml:space="preserve">generation; </w:t>
      </w:r>
      <w:proofErr w:type="spellStart"/>
      <w:r>
        <w:t>aivu_greybox</w:t>
      </w:r>
      <w:proofErr w:type="spellEnd"/>
      <w:r>
        <w:t xml:space="preserve"> is the HPM-resident inverse-identification package that produces envelope posteriors from operational telemetry; </w:t>
      </w:r>
      <w:proofErr w:type="spellStart"/>
      <w:r>
        <w:t>aivu_integrity</w:t>
      </w:r>
      <w:proofErr w:type="spellEnd"/>
      <w:r>
        <w:t xml:space="preserve"> is the cryptographic-integrity package used by all three nodes (see §6 of the Addendum). Future packages </w:t>
      </w:r>
      <w:proofErr w:type="spellStart"/>
      <w:r>
        <w:t>aivu_pinn</w:t>
      </w:r>
      <w:proofErr w:type="spellEnd"/>
      <w:r>
        <w:t xml:space="preserve"> (Born Educated PINN training pipeline) and </w:t>
      </w:r>
      <w:proofErr w:type="spellStart"/>
      <w:r>
        <w:t>aivu_hpm</w:t>
      </w:r>
      <w:proofErr w:type="spellEnd"/>
      <w:r>
        <w:t xml:space="preserve"> (real-time controller and orchestrator) are scoped but not yet specified. References to packages by name throughout this document use these definitions.</w:t>
      </w:r>
    </w:p>
    <w:p w14:paraId="693834AA" w14:textId="77777777" w:rsidR="00E44DE0" w:rsidRDefault="00000000">
      <w:pPr>
        <w:pStyle w:val="Heading1"/>
        <w:rPr>
          <w:b/>
          <w:bCs/>
          <w:sz w:val="28"/>
          <w:szCs w:val="28"/>
        </w:rPr>
      </w:pPr>
      <w:bookmarkStart w:id="6" w:name="_Toc229320680"/>
      <w:r>
        <w:rPr>
          <w:b/>
          <w:bCs/>
          <w:sz w:val="28"/>
          <w:szCs w:val="28"/>
        </w:rPr>
        <w:t>Home Performance Manager, HPM</w:t>
      </w:r>
      <w:bookmarkEnd w:id="6"/>
    </w:p>
    <w:p w14:paraId="2C495891" w14:textId="77777777" w:rsidR="00E44DE0" w:rsidRDefault="00000000">
      <w:r>
        <w:rPr>
          <w:i/>
          <w:iCs/>
        </w:rPr>
        <w:t>Theme: The Physics-Based Truth Machine – Performance Verification &amp; Agentic Control</w:t>
      </w:r>
    </w:p>
    <w:p w14:paraId="14D7815A" w14:textId="77777777" w:rsidR="00E44DE0" w:rsidRDefault="00000000">
      <w:pPr>
        <w:pStyle w:val="Heading2"/>
        <w:rPr>
          <w:b/>
          <w:bCs/>
          <w:sz w:val="28"/>
          <w:szCs w:val="28"/>
        </w:rPr>
      </w:pPr>
      <w:bookmarkStart w:id="7" w:name="_Toc229320681"/>
      <w:r>
        <w:rPr>
          <w:b/>
          <w:bCs/>
          <w:sz w:val="28"/>
          <w:szCs w:val="28"/>
        </w:rPr>
        <w:t>1. The Strategic Foundation (The "Why")</w:t>
      </w:r>
      <w:bookmarkEnd w:id="7"/>
    </w:p>
    <w:p w14:paraId="2A8A28E5" w14:textId="77777777" w:rsidR="00E44DE0" w:rsidRDefault="00000000">
      <w:r>
        <w:t xml:space="preserve">This module establishes functional requirements for the data and legal triggers that secure AIVU’s market position and provide </w:t>
      </w:r>
      <w:r>
        <w:rPr>
          <w:b/>
          <w:bCs/>
        </w:rPr>
        <w:t>Active Liability Protection</w:t>
      </w:r>
      <w:r>
        <w:t xml:space="preserve"> for the builder.</w:t>
      </w:r>
    </w:p>
    <w:p w14:paraId="114FB2CF" w14:textId="77777777" w:rsidR="00E44DE0" w:rsidRDefault="00000000">
      <w:pPr>
        <w:pStyle w:val="Heading3"/>
        <w:rPr>
          <w:b/>
          <w:bCs/>
        </w:rPr>
      </w:pPr>
      <w:bookmarkStart w:id="8" w:name="_Toc229320682"/>
      <w:r>
        <w:rPr>
          <w:b/>
          <w:bCs/>
        </w:rPr>
        <w:t>1.1  Existential Intellectual Property: The "Exclusive Source Data License"</w:t>
      </w:r>
      <w:bookmarkEnd w:id="8"/>
    </w:p>
    <w:p w14:paraId="398B6BF7" w14:textId="77777777" w:rsidR="00E44DE0" w:rsidRDefault="00000000">
      <w:pPr>
        <w:spacing w:line="240" w:lineRule="auto"/>
      </w:pPr>
      <w:r>
        <w:t>The HPM serves as the primary gateway for the data agreement that protects AIVU from copycats.</w:t>
      </w:r>
    </w:p>
    <w:p w14:paraId="34B9C87C" w14:textId="77777777" w:rsidR="00E44DE0" w:rsidRDefault="00000000">
      <w:pPr>
        <w:numPr>
          <w:ilvl w:val="0"/>
          <w:numId w:val="1"/>
        </w:numPr>
        <w:spacing w:line="240" w:lineRule="auto"/>
      </w:pPr>
      <w:r>
        <w:rPr>
          <w:b/>
          <w:bCs/>
        </w:rPr>
        <w:t>Input:</w:t>
      </w:r>
    </w:p>
    <w:p w14:paraId="564D0A26" w14:textId="77777777" w:rsidR="00E44DE0" w:rsidRDefault="00000000">
      <w:pPr>
        <w:numPr>
          <w:ilvl w:val="1"/>
          <w:numId w:val="1"/>
        </w:numPr>
        <w:spacing w:line="240" w:lineRule="auto"/>
      </w:pPr>
      <w:r>
        <w:t>Homebuyer's "Fully Personalized" Data License document generated by the AIVU Clearinghouse.</w:t>
      </w:r>
    </w:p>
    <w:p w14:paraId="648B2A1F" w14:textId="77777777" w:rsidR="00E44DE0" w:rsidRDefault="00000000">
      <w:pPr>
        <w:numPr>
          <w:ilvl w:val="1"/>
          <w:numId w:val="1"/>
        </w:numPr>
        <w:spacing w:line="240" w:lineRule="auto"/>
      </w:pPr>
      <w:r>
        <w:t>Verification of the HPM's successful pre-installation and "Born Educated" status (Digital DNA).</w:t>
      </w:r>
    </w:p>
    <w:p w14:paraId="49DBCAB1" w14:textId="77777777" w:rsidR="00E44DE0" w:rsidRDefault="00000000">
      <w:pPr>
        <w:numPr>
          <w:ilvl w:val="0"/>
          <w:numId w:val="1"/>
        </w:numPr>
        <w:spacing w:line="240" w:lineRule="auto"/>
      </w:pPr>
      <w:r>
        <w:rPr>
          <w:b/>
          <w:bCs/>
        </w:rPr>
        <w:t>Process:</w:t>
      </w:r>
    </w:p>
    <w:p w14:paraId="0FFBC391" w14:textId="77777777" w:rsidR="00E44DE0" w:rsidRDefault="00000000">
      <w:pPr>
        <w:numPr>
          <w:ilvl w:val="1"/>
          <w:numId w:val="1"/>
        </w:numPr>
        <w:spacing w:line="240" w:lineRule="auto"/>
      </w:pPr>
      <w:r>
        <w:rPr>
          <w:b/>
          <w:bCs/>
        </w:rPr>
        <w:t>Agreement Trigger:</w:t>
      </w:r>
      <w:r>
        <w:t xml:space="preserve"> The HPM UI presents the digital license for signature during the final walkthrough or closing.</w:t>
      </w:r>
    </w:p>
    <w:p w14:paraId="488A4E4B" w14:textId="77777777" w:rsidR="00E44DE0" w:rsidRDefault="00000000">
      <w:pPr>
        <w:numPr>
          <w:ilvl w:val="1"/>
          <w:numId w:val="1"/>
        </w:numPr>
        <w:spacing w:line="240" w:lineRule="auto"/>
      </w:pPr>
      <w:r>
        <w:rPr>
          <w:b/>
          <w:bCs/>
        </w:rPr>
        <w:t>License Lock:</w:t>
      </w:r>
      <w:r>
        <w:t xml:space="preserve"> Upon signature, the HPM activates the encrypted data uplink to the Big Digital Twin, formalizing the exclusive relationship.</w:t>
      </w:r>
    </w:p>
    <w:p w14:paraId="7CEA6B0F" w14:textId="77777777" w:rsidR="00E44DE0" w:rsidRDefault="00000000">
      <w:pPr>
        <w:numPr>
          <w:ilvl w:val="0"/>
          <w:numId w:val="1"/>
        </w:numPr>
        <w:spacing w:line="240" w:lineRule="auto"/>
      </w:pPr>
      <w:r>
        <w:rPr>
          <w:b/>
          <w:bCs/>
        </w:rPr>
        <w:t>Output:</w:t>
      </w:r>
    </w:p>
    <w:p w14:paraId="481A1A28" w14:textId="77777777" w:rsidR="00E44DE0" w:rsidRDefault="00000000">
      <w:pPr>
        <w:numPr>
          <w:ilvl w:val="1"/>
          <w:numId w:val="1"/>
        </w:numPr>
        <w:spacing w:line="240" w:lineRule="auto"/>
      </w:pPr>
      <w:r>
        <w:t>Activated "Exclusive Source Data License" in the tamper proof Clearinghouse registry.</w:t>
      </w:r>
    </w:p>
    <w:p w14:paraId="2C6A462D" w14:textId="77777777" w:rsidR="00E44DE0" w:rsidRDefault="00000000">
      <w:pPr>
        <w:numPr>
          <w:ilvl w:val="1"/>
          <w:numId w:val="1"/>
        </w:numPr>
        <w:spacing w:line="240" w:lineRule="auto"/>
      </w:pPr>
      <w:r>
        <w:t>Notification to the Big Digital Twin to begin high-definition data streaming.</w:t>
      </w:r>
    </w:p>
    <w:p w14:paraId="0412F76E" w14:textId="77777777" w:rsidR="00E44DE0" w:rsidRDefault="00000000">
      <w:pPr>
        <w:pStyle w:val="Heading3"/>
        <w:rPr>
          <w:b/>
          <w:bCs/>
        </w:rPr>
      </w:pPr>
      <w:bookmarkStart w:id="9" w:name="_Toc229320683"/>
      <w:r>
        <w:rPr>
          <w:b/>
          <w:bCs/>
        </w:rPr>
        <w:t>1.2  Active Liability Protection: The Immutable Defense</w:t>
      </w:r>
      <w:bookmarkEnd w:id="9"/>
    </w:p>
    <w:p w14:paraId="66AAEA96" w14:textId="77777777" w:rsidR="00E44DE0" w:rsidRDefault="00000000">
      <w:pPr>
        <w:spacing w:line="240" w:lineRule="auto"/>
      </w:pPr>
      <w:r>
        <w:t>Generating a financial-grade record of truth to protect the builder from unwarranted claims.</w:t>
      </w:r>
    </w:p>
    <w:p w14:paraId="45F65C1A" w14:textId="77777777" w:rsidR="00E44DE0" w:rsidRDefault="00000000">
      <w:pPr>
        <w:numPr>
          <w:ilvl w:val="0"/>
          <w:numId w:val="2"/>
        </w:numPr>
        <w:spacing w:line="240" w:lineRule="auto"/>
      </w:pPr>
      <w:r>
        <w:rPr>
          <w:b/>
          <w:bCs/>
        </w:rPr>
        <w:t>Input:</w:t>
      </w:r>
    </w:p>
    <w:p w14:paraId="17382298" w14:textId="77777777" w:rsidR="00E44DE0" w:rsidRDefault="00000000">
      <w:pPr>
        <w:numPr>
          <w:ilvl w:val="1"/>
          <w:numId w:val="2"/>
        </w:numPr>
        <w:spacing w:line="240" w:lineRule="auto"/>
      </w:pPr>
      <w:r>
        <w:t>24/7/365 telemetry (mass airflow, enthalpy, and thermal load signatures) measured at return and supply registers.</w:t>
      </w:r>
    </w:p>
    <w:p w14:paraId="5F93F031" w14:textId="77777777" w:rsidR="00E44DE0" w:rsidRDefault="00000000">
      <w:pPr>
        <w:numPr>
          <w:ilvl w:val="1"/>
          <w:numId w:val="2"/>
        </w:numPr>
        <w:spacing w:line="240" w:lineRule="auto"/>
      </w:pPr>
      <w:r>
        <w:lastRenderedPageBreak/>
        <w:t>Eaton Smart Circuit Breaker 1Hz power data for critical appliance loads.</w:t>
      </w:r>
    </w:p>
    <w:p w14:paraId="497272E0" w14:textId="77777777" w:rsidR="00E44DE0" w:rsidRDefault="00000000">
      <w:pPr>
        <w:numPr>
          <w:ilvl w:val="0"/>
          <w:numId w:val="2"/>
        </w:numPr>
        <w:spacing w:line="240" w:lineRule="auto"/>
      </w:pPr>
      <w:r>
        <w:rPr>
          <w:b/>
          <w:bCs/>
        </w:rPr>
        <w:t>Process:</w:t>
      </w:r>
    </w:p>
    <w:p w14:paraId="46ADC481" w14:textId="77777777" w:rsidR="00E44DE0" w:rsidRDefault="00000000">
      <w:pPr>
        <w:numPr>
          <w:ilvl w:val="1"/>
          <w:numId w:val="2"/>
        </w:numPr>
        <w:spacing w:line="240" w:lineRule="auto"/>
      </w:pPr>
      <w:r>
        <w:rPr>
          <w:b/>
          <w:bCs/>
        </w:rPr>
        <w:t>Time-Series Logging:</w:t>
      </w:r>
      <w:r>
        <w:t xml:space="preserve"> Creation of a cryptographically signed, dated record of all physical performance metrics.</w:t>
      </w:r>
    </w:p>
    <w:p w14:paraId="13586D7F" w14:textId="77777777" w:rsidR="00E44DE0" w:rsidRDefault="00000000">
      <w:pPr>
        <w:numPr>
          <w:ilvl w:val="1"/>
          <w:numId w:val="2"/>
        </w:numPr>
        <w:spacing w:line="240" w:lineRule="auto"/>
      </w:pPr>
      <w:r>
        <w:rPr>
          <w:b/>
          <w:bCs/>
        </w:rPr>
        <w:t>Anomaly Adjudication:</w:t>
      </w:r>
      <w:r>
        <w:t xml:space="preserve"> Automated distinction between occupant behavior (e.g., windows open) and structural defects.</w:t>
      </w:r>
    </w:p>
    <w:p w14:paraId="426D5271" w14:textId="77777777" w:rsidR="00E44DE0" w:rsidRDefault="00000000">
      <w:pPr>
        <w:numPr>
          <w:ilvl w:val="0"/>
          <w:numId w:val="2"/>
        </w:numPr>
        <w:spacing w:line="240" w:lineRule="auto"/>
      </w:pPr>
      <w:r>
        <w:rPr>
          <w:b/>
          <w:bCs/>
        </w:rPr>
        <w:t>Output:</w:t>
      </w:r>
    </w:p>
    <w:p w14:paraId="77008074" w14:textId="77777777" w:rsidR="00E44DE0" w:rsidRDefault="00000000">
      <w:pPr>
        <w:numPr>
          <w:ilvl w:val="1"/>
          <w:numId w:val="2"/>
        </w:numPr>
        <w:spacing w:line="240" w:lineRule="auto"/>
      </w:pPr>
      <w:r>
        <w:t>The "Digital Deed" and "Digital Birth Certificate" (legally defensible business records). The Digital Birth Certificate is the immutable joining of two independently commissioned numbers from the 5-Day Pre-Occupancy Window: the envelope half (R-actual, infiltration, foam coupling factor) measured per Section 3.2, and the HVAC half (delivered capacity, EER-actual, distribution conformance) measured per Section 3.3. Because each half is signed before the other can confound it, the certificate is the architectural cure for the "compound fracture" described in the Overview.</w:t>
      </w:r>
    </w:p>
    <w:p w14:paraId="694CE650" w14:textId="77777777" w:rsidR="00E44DE0" w:rsidRDefault="00000000">
      <w:pPr>
        <w:numPr>
          <w:ilvl w:val="1"/>
          <w:numId w:val="2"/>
        </w:numPr>
        <w:spacing w:line="240" w:lineRule="auto"/>
      </w:pPr>
      <w:r>
        <w:t>Real-time alerts if performance deviates from the "Digital DNA" design specs.</w:t>
      </w:r>
    </w:p>
    <w:p w14:paraId="462C74C9" w14:textId="77777777" w:rsidR="00E44DE0" w:rsidRDefault="00000000">
      <w:pPr>
        <w:pStyle w:val="Heading3"/>
        <w:rPr>
          <w:b/>
          <w:bCs/>
        </w:rPr>
      </w:pPr>
      <w:bookmarkStart w:id="10" w:name="_Toc229320684"/>
      <w:r>
        <w:rPr>
          <w:b/>
          <w:bCs/>
        </w:rPr>
        <w:t>1.3  Subcontractor Accountability: Neutral Third-Party Verification</w:t>
      </w:r>
      <w:bookmarkEnd w:id="10"/>
    </w:p>
    <w:p w14:paraId="3289282D" w14:textId="77777777" w:rsidR="00E44DE0" w:rsidRDefault="00000000">
      <w:pPr>
        <w:spacing w:line="240" w:lineRule="auto"/>
      </w:pPr>
      <w:r>
        <w:t xml:space="preserve">The HPM acts as an </w:t>
      </w:r>
      <w:r>
        <w:rPr>
          <w:b/>
          <w:bCs/>
        </w:rPr>
        <w:t>"Automated Superintendent"</w:t>
      </w:r>
      <w:r>
        <w:t xml:space="preserve"> to verify subcontracted work before closing.</w:t>
      </w:r>
    </w:p>
    <w:p w14:paraId="52D70211" w14:textId="77777777" w:rsidR="00E44DE0" w:rsidRDefault="00000000">
      <w:pPr>
        <w:numPr>
          <w:ilvl w:val="0"/>
          <w:numId w:val="3"/>
        </w:numPr>
        <w:spacing w:line="240" w:lineRule="auto"/>
      </w:pPr>
      <w:r>
        <w:rPr>
          <w:b/>
          <w:bCs/>
        </w:rPr>
        <w:t>Input:</w:t>
      </w:r>
    </w:p>
    <w:p w14:paraId="1D77171A" w14:textId="77777777" w:rsidR="00E44DE0" w:rsidRDefault="00000000">
      <w:pPr>
        <w:numPr>
          <w:ilvl w:val="1"/>
          <w:numId w:val="3"/>
        </w:numPr>
        <w:spacing w:line="240" w:lineRule="auto"/>
      </w:pPr>
      <w:r>
        <w:t>ACCA Manual J, S, D, P, and RS design targets.</w:t>
      </w:r>
    </w:p>
    <w:p w14:paraId="7CBDFA83" w14:textId="77777777" w:rsidR="00E44DE0" w:rsidRDefault="00000000">
      <w:pPr>
        <w:numPr>
          <w:ilvl w:val="1"/>
          <w:numId w:val="3"/>
        </w:numPr>
        <w:spacing w:line="240" w:lineRule="auto"/>
      </w:pPr>
      <w:r>
        <w:t>Initial commissioning data from the 5-Day Bootstrapping Test. Both tracks of the 5-Day Pre-Occupancy Window contribute: the envelope-side resistive injection results from Section 3.2 and the HVAC-side cooling and heating capacity results from Section 3.3 are treated as independent verification streams against ACCA Manual J/S/D design intent.</w:t>
      </w:r>
    </w:p>
    <w:p w14:paraId="1F406B07" w14:textId="77777777" w:rsidR="00E44DE0" w:rsidRDefault="00000000">
      <w:pPr>
        <w:numPr>
          <w:ilvl w:val="0"/>
          <w:numId w:val="3"/>
        </w:numPr>
        <w:spacing w:line="240" w:lineRule="auto"/>
      </w:pPr>
      <w:r>
        <w:rPr>
          <w:b/>
          <w:bCs/>
        </w:rPr>
        <w:t>Process:</w:t>
      </w:r>
    </w:p>
    <w:p w14:paraId="0556B38E" w14:textId="77777777" w:rsidR="00E44DE0" w:rsidRDefault="00000000">
      <w:pPr>
        <w:numPr>
          <w:ilvl w:val="1"/>
          <w:numId w:val="3"/>
        </w:numPr>
        <w:spacing w:line="240" w:lineRule="auto"/>
      </w:pPr>
      <w:r>
        <w:rPr>
          <w:b/>
          <w:bCs/>
        </w:rPr>
        <w:t>Performance Verification:</w:t>
      </w:r>
      <w:r>
        <w:t xml:space="preserve"> Comparing measured mass airflow and EER against design requirements.</w:t>
      </w:r>
    </w:p>
    <w:p w14:paraId="6A32F10D" w14:textId="77777777" w:rsidR="00E44DE0" w:rsidRDefault="00000000">
      <w:pPr>
        <w:numPr>
          <w:ilvl w:val="1"/>
          <w:numId w:val="3"/>
        </w:numPr>
        <w:spacing w:line="240" w:lineRule="auto"/>
      </w:pPr>
      <w:r>
        <w:rPr>
          <w:b/>
          <w:bCs/>
        </w:rPr>
        <w:t>Defect Isolation:</w:t>
      </w:r>
      <w:r>
        <w:t xml:space="preserve"> Identifying failures—including insulation defects, register airflow deficits, or system capacity/EER deviations &gt;5%—prior to home sale closing.</w:t>
      </w:r>
    </w:p>
    <w:p w14:paraId="3F566ED7" w14:textId="77777777" w:rsidR="00E44DE0" w:rsidRDefault="00000000">
      <w:pPr>
        <w:numPr>
          <w:ilvl w:val="0"/>
          <w:numId w:val="3"/>
        </w:numPr>
        <w:spacing w:line="240" w:lineRule="auto"/>
      </w:pPr>
      <w:r>
        <w:rPr>
          <w:b/>
          <w:bCs/>
        </w:rPr>
        <w:t>Output:</w:t>
      </w:r>
    </w:p>
    <w:p w14:paraId="71E71641" w14:textId="77777777" w:rsidR="00E44DE0" w:rsidRDefault="00000000">
      <w:pPr>
        <w:numPr>
          <w:ilvl w:val="1"/>
          <w:numId w:val="3"/>
        </w:numPr>
        <w:spacing w:line="240" w:lineRule="auto"/>
      </w:pPr>
      <w:r>
        <w:t>Neutral, third-party Initial Commissioning Record.</w:t>
      </w:r>
    </w:p>
    <w:p w14:paraId="494DA7E2" w14:textId="77777777" w:rsidR="00E44DE0" w:rsidRDefault="00000000">
      <w:pPr>
        <w:numPr>
          <w:ilvl w:val="1"/>
          <w:numId w:val="3"/>
        </w:numPr>
        <w:spacing w:line="240" w:lineRule="auto"/>
      </w:pPr>
      <w:r>
        <w:t>Compliance Score used to release subcontractor payments or trigger rework.</w:t>
      </w:r>
    </w:p>
    <w:p w14:paraId="432E7513" w14:textId="77777777" w:rsidR="00E44DE0" w:rsidRDefault="00E44DE0"/>
    <w:p w14:paraId="684E29EC" w14:textId="77777777" w:rsidR="00E44DE0" w:rsidRDefault="00000000">
      <w:pPr>
        <w:pStyle w:val="Heading2"/>
        <w:rPr>
          <w:b/>
          <w:bCs/>
          <w:sz w:val="28"/>
          <w:szCs w:val="28"/>
        </w:rPr>
      </w:pPr>
      <w:bookmarkStart w:id="11" w:name="_Toc229320685"/>
      <w:r>
        <w:rPr>
          <w:b/>
          <w:bCs/>
          <w:sz w:val="28"/>
          <w:szCs w:val="28"/>
        </w:rPr>
        <w:lastRenderedPageBreak/>
        <w:t>2  Phase 0: Pre-Installation (Off-Site "Birth")</w:t>
      </w:r>
      <w:bookmarkEnd w:id="11"/>
    </w:p>
    <w:p w14:paraId="19AB42A4" w14:textId="77777777" w:rsidR="00E44DE0" w:rsidRDefault="00000000">
      <w:r>
        <w:t>Defining the creation of the "Born Educated" state through cloud-based simulation.</w:t>
      </w:r>
    </w:p>
    <w:p w14:paraId="5A284360" w14:textId="77777777" w:rsidR="00E44DE0" w:rsidRDefault="00000000">
      <w:pPr>
        <w:pStyle w:val="Heading3"/>
        <w:rPr>
          <w:b/>
          <w:bCs/>
        </w:rPr>
      </w:pPr>
      <w:bookmarkStart w:id="12" w:name="_Toc229320686"/>
      <w:r>
        <w:rPr>
          <w:b/>
          <w:bCs/>
        </w:rPr>
        <w:t>2.1 The Virtual Training Camp: Cloud-Based Initialization</w:t>
      </w:r>
      <w:bookmarkEnd w:id="12"/>
    </w:p>
    <w:p w14:paraId="55ADA3BF" w14:textId="77777777" w:rsidR="00E44DE0" w:rsidRDefault="00000000">
      <w:pPr>
        <w:numPr>
          <w:ilvl w:val="0"/>
          <w:numId w:val="4"/>
        </w:numPr>
        <w:spacing w:line="240" w:lineRule="auto"/>
      </w:pPr>
      <w:r>
        <w:rPr>
          <w:b/>
          <w:bCs/>
        </w:rPr>
        <w:t>Input:</w:t>
      </w:r>
    </w:p>
    <w:p w14:paraId="016FC97B" w14:textId="77777777" w:rsidR="00E44DE0" w:rsidRDefault="00000000">
      <w:pPr>
        <w:numPr>
          <w:ilvl w:val="1"/>
          <w:numId w:val="4"/>
        </w:numPr>
        <w:spacing w:line="240" w:lineRule="auto"/>
      </w:pPr>
      <w:r>
        <w:t xml:space="preserve">3D model (using </w:t>
      </w:r>
      <w:proofErr w:type="spellStart"/>
      <w:r>
        <w:t>gbXML</w:t>
      </w:r>
      <w:proofErr w:type="spellEnd"/>
      <w:r>
        <w:t xml:space="preserve">  file format) generated from architectural PDFs.</w:t>
      </w:r>
    </w:p>
    <w:p w14:paraId="38912729" w14:textId="77777777" w:rsidR="00E44DE0" w:rsidRDefault="00000000">
      <w:pPr>
        <w:numPr>
          <w:ilvl w:val="1"/>
          <w:numId w:val="4"/>
        </w:numPr>
        <w:spacing w:line="240" w:lineRule="auto"/>
      </w:pPr>
      <w:r>
        <w:t>TMY3 (Typical Meteorological Year, version 3) weather data sets for the specific local microclimate.</w:t>
      </w:r>
    </w:p>
    <w:p w14:paraId="33982192" w14:textId="77777777" w:rsidR="00E44DE0" w:rsidRDefault="00000000">
      <w:pPr>
        <w:numPr>
          <w:ilvl w:val="0"/>
          <w:numId w:val="4"/>
        </w:numPr>
        <w:spacing w:line="240" w:lineRule="auto"/>
      </w:pPr>
      <w:r>
        <w:rPr>
          <w:b/>
          <w:bCs/>
        </w:rPr>
        <w:t>Process:</w:t>
      </w:r>
    </w:p>
    <w:p w14:paraId="6E4C9C87" w14:textId="77777777" w:rsidR="00E44DE0" w:rsidRDefault="00000000">
      <w:pPr>
        <w:numPr>
          <w:ilvl w:val="1"/>
          <w:numId w:val="4"/>
        </w:numPr>
        <w:spacing w:line="240" w:lineRule="auto"/>
      </w:pPr>
      <w:r>
        <w:rPr>
          <w:b/>
          <w:bCs/>
        </w:rPr>
        <w:t>Simulation Execution:</w:t>
      </w:r>
      <w:r>
        <w:t xml:space="preserve"> </w:t>
      </w:r>
      <w:proofErr w:type="spellStart"/>
      <w:r>
        <w:t>EnergyPlus</w:t>
      </w:r>
      <w:proofErr w:type="spellEnd"/>
      <w:r>
        <w:t xml:space="preserve"> simulation against 8,760 hours (one full set of four seasons) of virtual local weather.</w:t>
      </w:r>
    </w:p>
    <w:p w14:paraId="0C1DD39E" w14:textId="77777777" w:rsidR="00E44DE0" w:rsidRDefault="00000000">
      <w:pPr>
        <w:rPr>
          <w:b/>
          <w:bCs/>
          <w:sz w:val="32"/>
          <w:szCs w:val="32"/>
        </w:rPr>
      </w:pPr>
      <w:r>
        <w:rPr>
          <w:b/>
          <w:bCs/>
          <w:sz w:val="32"/>
          <w:szCs w:val="32"/>
        </w:rPr>
        <w:t>PINN Initialization:</w:t>
      </w:r>
      <w:r>
        <w:t xml:space="preserve"> Using above data to initialize the PINN weights in the Big Digital Twin, from which certainty-equivalent controller parameters are derived for the HPM.</w:t>
      </w:r>
    </w:p>
    <w:p w14:paraId="6F4C0F84" w14:textId="77777777" w:rsidR="00E44DE0" w:rsidRDefault="00000000">
      <w:pPr>
        <w:numPr>
          <w:ilvl w:val="0"/>
          <w:numId w:val="4"/>
        </w:numPr>
        <w:spacing w:line="240" w:lineRule="auto"/>
      </w:pPr>
      <w:r>
        <w:rPr>
          <w:b/>
          <w:bCs/>
        </w:rPr>
        <w:t>Output:</w:t>
      </w:r>
    </w:p>
    <w:p w14:paraId="53FC20DB" w14:textId="77777777" w:rsidR="00E44DE0" w:rsidRDefault="00000000">
      <w:pPr>
        <w:numPr>
          <w:ilvl w:val="1"/>
          <w:numId w:val="4"/>
        </w:numPr>
        <w:spacing w:line="240" w:lineRule="auto"/>
      </w:pPr>
      <w:r>
        <w:t>Pre-trained HPM firmware ready for site-specific deployment.</w:t>
      </w:r>
    </w:p>
    <w:p w14:paraId="0A854C9A" w14:textId="77777777" w:rsidR="00E44DE0" w:rsidRDefault="00000000">
      <w:pPr>
        <w:pStyle w:val="Heading3"/>
        <w:rPr>
          <w:b/>
          <w:bCs/>
        </w:rPr>
      </w:pPr>
      <w:bookmarkStart w:id="13" w:name="_Toc229320687"/>
      <w:r>
        <w:rPr>
          <w:b/>
          <w:bCs/>
        </w:rPr>
        <w:t>2.2  Baseline Ingestion: The ACCA Manual Derived "Digital DNA"</w:t>
      </w:r>
      <w:bookmarkEnd w:id="13"/>
    </w:p>
    <w:p w14:paraId="36D857A8" w14:textId="77777777" w:rsidR="00E44DE0" w:rsidRDefault="00000000">
      <w:pPr>
        <w:numPr>
          <w:ilvl w:val="0"/>
          <w:numId w:val="5"/>
        </w:numPr>
        <w:spacing w:line="240" w:lineRule="auto"/>
      </w:pPr>
      <w:r>
        <w:rPr>
          <w:b/>
          <w:bCs/>
        </w:rPr>
        <w:t>Input:</w:t>
      </w:r>
    </w:p>
    <w:p w14:paraId="24A7AC36" w14:textId="77777777" w:rsidR="00E44DE0" w:rsidRDefault="00000000">
      <w:pPr>
        <w:numPr>
          <w:ilvl w:val="1"/>
          <w:numId w:val="5"/>
        </w:numPr>
        <w:spacing w:line="240" w:lineRule="auto"/>
      </w:pPr>
      <w:r>
        <w:t>ACCA Manuals J (Load), S (Equipment), D (Ducts), P (</w:t>
      </w:r>
      <w:proofErr w:type="spellStart"/>
      <w:r>
        <w:t>Psychrometrics</w:t>
      </w:r>
      <w:proofErr w:type="spellEnd"/>
      <w:r>
        <w:t>), and RS (Residential Systems).</w:t>
      </w:r>
    </w:p>
    <w:p w14:paraId="4F8667D6" w14:textId="77777777" w:rsidR="00E44DE0" w:rsidRDefault="00000000">
      <w:pPr>
        <w:numPr>
          <w:ilvl w:val="0"/>
          <w:numId w:val="5"/>
        </w:numPr>
        <w:spacing w:line="240" w:lineRule="auto"/>
      </w:pPr>
      <w:r>
        <w:rPr>
          <w:b/>
          <w:bCs/>
        </w:rPr>
        <w:t>Process:</w:t>
      </w:r>
    </w:p>
    <w:p w14:paraId="724A5CDF" w14:textId="77777777" w:rsidR="00E44DE0" w:rsidRDefault="00000000">
      <w:pPr>
        <w:numPr>
          <w:ilvl w:val="1"/>
          <w:numId w:val="5"/>
        </w:numPr>
        <w:spacing w:line="240" w:lineRule="auto"/>
      </w:pPr>
      <w:r>
        <w:rPr>
          <w:b/>
          <w:bCs/>
        </w:rPr>
        <w:t>Target Mapping:</w:t>
      </w:r>
      <w:r>
        <w:t xml:space="preserve"> Mapping design targets to the internal Reference Model.</w:t>
      </w:r>
    </w:p>
    <w:p w14:paraId="29D9D8F0" w14:textId="77777777" w:rsidR="00E44DE0" w:rsidRDefault="00000000">
      <w:pPr>
        <w:numPr>
          <w:ilvl w:val="1"/>
          <w:numId w:val="5"/>
        </w:numPr>
        <w:spacing w:line="240" w:lineRule="auto"/>
      </w:pPr>
      <w:r>
        <w:rPr>
          <w:b/>
          <w:bCs/>
        </w:rPr>
        <w:t>Verification Log:</w:t>
      </w:r>
      <w:r>
        <w:t xml:space="preserve"> Recording compliance with all relevant ACCA manuals.</w:t>
      </w:r>
    </w:p>
    <w:p w14:paraId="256447AE" w14:textId="77777777" w:rsidR="00E44DE0" w:rsidRDefault="00000000">
      <w:pPr>
        <w:numPr>
          <w:ilvl w:val="0"/>
          <w:numId w:val="5"/>
        </w:numPr>
        <w:spacing w:line="240" w:lineRule="auto"/>
      </w:pPr>
      <w:r>
        <w:rPr>
          <w:b/>
          <w:bCs/>
        </w:rPr>
        <w:t>Output:</w:t>
      </w:r>
    </w:p>
    <w:p w14:paraId="131EA58C" w14:textId="77777777" w:rsidR="00E44DE0" w:rsidRDefault="00000000">
      <w:pPr>
        <w:numPr>
          <w:ilvl w:val="1"/>
          <w:numId w:val="5"/>
        </w:numPr>
        <w:spacing w:line="240" w:lineRule="auto"/>
      </w:pPr>
      <w:r>
        <w:t>Structured "Digital DNA" profile stored locally on the HPM.</w:t>
      </w:r>
    </w:p>
    <w:p w14:paraId="19C19C57" w14:textId="77777777" w:rsidR="00E44DE0" w:rsidRDefault="00000000">
      <w:pPr>
        <w:pStyle w:val="Heading2"/>
        <w:rPr>
          <w:b/>
          <w:bCs/>
          <w:sz w:val="28"/>
          <w:szCs w:val="28"/>
        </w:rPr>
      </w:pPr>
      <w:bookmarkStart w:id="14" w:name="_Toc229320688"/>
      <w:r>
        <w:rPr>
          <w:b/>
          <w:bCs/>
          <w:sz w:val="28"/>
          <w:szCs w:val="28"/>
        </w:rPr>
        <w:t>3. Phase 1 — Independent Two-Track Commissioning (5-Day Pre-Occupancy Window)</w:t>
      </w:r>
      <w:bookmarkEnd w:id="14"/>
    </w:p>
    <w:p w14:paraId="33977D17" w14:textId="77777777" w:rsidR="00E44DE0" w:rsidRDefault="00E44DE0"/>
    <w:p w14:paraId="55A699C5" w14:textId="77777777" w:rsidR="00E44DE0" w:rsidRDefault="00E44DE0"/>
    <w:p w14:paraId="7366002B" w14:textId="77777777" w:rsidR="00E44DE0" w:rsidRDefault="00000000">
      <w:r>
        <w:t xml:space="preserve">The five-day window between HPM hardware installation and homeowner move-in is the only moment in the asset’s life when the building envelope and the HVAC system can be commissioned independently of each other — without occupants, without random appliance loads, and without behavioral noise. AIVU exploits this window deliberately. Phase 1 runs three </w:t>
      </w:r>
      <w:r>
        <w:lastRenderedPageBreak/>
        <w:t>sequential sub-phases inside that window, each building on the previous one. Days 1–2 perform passive envelope observation under fan-mixed conditions — the air handler runs fan-only to homogenize indoor air, no resistive injection (a controlled space heater driving the indoor-outdoor ΔT) is used unless the weather window is thermally too quiet, and the envelope’s response to natural outdoor forcing is recorded at high quality. Day 3 is dedicated entirely to HVAC system commissioning: the HVAC is exercised across setpoint and operating-point sweeps to build a measured (Capacity, EER) map as a function of outdoor temperature, return-air conditions, airflow, and compressor stage. This is what turns the HVAC from a nameplate-specified black box into a calibrated measurement instrument. Days 4–5 then use that calibrated HVAC as a controllable heat source and sink to actively perturb the envelope at high signal-to-noise — large imposed ΔT across the envelope gives much tighter parameter identification than passive observation alone can. The Digital Birth Certificate is the joining of the envelope characterization (from Days 1–2 and Days 4–5) with the HVAC operating-point map (from Day 3, continuously refined thereafter). This is the architectural cure for the “compound fracture”: at no point is the envelope inferred from an uncalibrated HVAC, and at no point is the HVAC commissioned against an unknown envelope.</w:t>
      </w:r>
    </w:p>
    <w:p w14:paraId="2B215727" w14:textId="77777777" w:rsidR="00E44DE0" w:rsidRDefault="00000000">
      <w:r>
        <w:t>Commissioning produces two outputs that flow to different parties. Toward the builder, the envelope half and the HVAC half of the Digital Birth Certificate — two independently signed records of conformance against specification, with any builder-accepted minor deviations documented. Toward the BDT, once the builder accepts commissioning closure, the characterized specifics of the as-accepted home flow upstream to drive the first per-home PINN adaptation. These are distinct artifacts serving distinct parties with distinct legal and technical roles.</w:t>
      </w:r>
    </w:p>
    <w:p w14:paraId="39192B71" w14:textId="77777777" w:rsidR="00E44DE0" w:rsidRDefault="00000000">
      <w:pPr>
        <w:pStyle w:val="Heading3"/>
        <w:rPr>
          <w:b/>
          <w:bCs/>
        </w:rPr>
      </w:pPr>
      <w:bookmarkStart w:id="15" w:name="_Toc229320689"/>
      <w:r>
        <w:rPr>
          <w:b/>
          <w:bCs/>
        </w:rPr>
        <w:t>3.1 Hardware Prerequisites: Instrumenting the Pathways</w:t>
      </w:r>
      <w:bookmarkEnd w:id="15"/>
    </w:p>
    <w:p w14:paraId="15A45157" w14:textId="77777777" w:rsidR="00E44DE0" w:rsidRDefault="00000000">
      <w:pPr>
        <w:numPr>
          <w:ilvl w:val="0"/>
          <w:numId w:val="6"/>
        </w:numPr>
        <w:spacing w:line="240" w:lineRule="auto"/>
      </w:pPr>
      <w:r>
        <w:rPr>
          <w:b/>
          <w:bCs/>
        </w:rPr>
        <w:t>Input:</w:t>
      </w:r>
    </w:p>
    <w:p w14:paraId="5BD12E6D" w14:textId="77777777" w:rsidR="00E44DE0" w:rsidRDefault="00000000">
      <w:pPr>
        <w:numPr>
          <w:ilvl w:val="1"/>
          <w:numId w:val="6"/>
        </w:numPr>
        <w:spacing w:line="240" w:lineRule="auto"/>
      </w:pPr>
      <w:r>
        <w:t>Calibrated airflow devices with T/RH sensors located directly before supply registers.</w:t>
      </w:r>
    </w:p>
    <w:p w14:paraId="02EEF1CE" w14:textId="77777777" w:rsidR="00E44DE0" w:rsidRDefault="00000000">
      <w:pPr>
        <w:numPr>
          <w:ilvl w:val="1"/>
          <w:numId w:val="6"/>
        </w:numPr>
        <w:spacing w:line="240" w:lineRule="auto"/>
      </w:pPr>
      <w:r>
        <w:t xml:space="preserve">Hard-wired Power-over-Ethernet (PoE) for sensor data integrity (no </w:t>
      </w:r>
      <w:proofErr w:type="spellStart"/>
      <w:r>
        <w:t>WiFi</w:t>
      </w:r>
      <w:proofErr w:type="spellEnd"/>
      <w:r>
        <w:t xml:space="preserve"> </w:t>
      </w:r>
      <w:proofErr w:type="gramStart"/>
      <w:r>
        <w:t>drop-outs</w:t>
      </w:r>
      <w:proofErr w:type="gramEnd"/>
      <w:r>
        <w:t>).</w:t>
      </w:r>
    </w:p>
    <w:p w14:paraId="23BF1606" w14:textId="77777777" w:rsidR="00E44DE0" w:rsidRDefault="00000000">
      <w:pPr>
        <w:numPr>
          <w:ilvl w:val="0"/>
          <w:numId w:val="6"/>
        </w:numPr>
        <w:spacing w:line="240" w:lineRule="auto"/>
      </w:pPr>
      <w:r>
        <w:rPr>
          <w:b/>
          <w:bCs/>
        </w:rPr>
        <w:t>Process:</w:t>
      </w:r>
    </w:p>
    <w:p w14:paraId="74BCA1C5" w14:textId="77777777" w:rsidR="00E44DE0" w:rsidRDefault="00000000">
      <w:pPr>
        <w:numPr>
          <w:ilvl w:val="1"/>
          <w:numId w:val="6"/>
        </w:numPr>
        <w:spacing w:line="240" w:lineRule="auto"/>
      </w:pPr>
      <w:r>
        <w:t>Mixing Length Verification: Confirming sensor placement at the tail-end of supply ducts (Mixed Air Truth). This explicitly rejects measuring enthalpy difference immediately behind the condensing coil due to air stratification, ensuring the capture of True Delivered Capacity and automatic accounting for duct leakage. During continuous operation, duct loss/gain physics is therefore implicitly captured by this Mixed Air Truth measurement and is not separately modeled inside the HPM; the Big Digital Twin retains explicit duct topology only for the Phase 0 Born Educated training pass</w:t>
      </w:r>
    </w:p>
    <w:p w14:paraId="0396FF40" w14:textId="77777777" w:rsidR="00E44DE0" w:rsidRDefault="00000000">
      <w:pPr>
        <w:numPr>
          <w:ilvl w:val="1"/>
          <w:numId w:val="6"/>
        </w:numPr>
        <w:spacing w:line="240" w:lineRule="auto"/>
      </w:pPr>
      <w:r>
        <w:lastRenderedPageBreak/>
        <w:t>Connectivity Handshake: Verification of 1Hz data streams from Eaton smart circuit breakers and PoE sensors.</w:t>
      </w:r>
    </w:p>
    <w:p w14:paraId="52CAF751" w14:textId="77777777" w:rsidR="00E44DE0" w:rsidRDefault="00000000">
      <w:pPr>
        <w:numPr>
          <w:ilvl w:val="0"/>
          <w:numId w:val="6"/>
        </w:numPr>
        <w:spacing w:line="240" w:lineRule="auto"/>
      </w:pPr>
      <w:r>
        <w:rPr>
          <w:b/>
          <w:bCs/>
        </w:rPr>
        <w:t>Output:</w:t>
      </w:r>
    </w:p>
    <w:p w14:paraId="4F7EB9B0" w14:textId="77777777" w:rsidR="00E44DE0" w:rsidRDefault="00000000">
      <w:pPr>
        <w:numPr>
          <w:ilvl w:val="1"/>
          <w:numId w:val="6"/>
        </w:numPr>
        <w:spacing w:line="240" w:lineRule="auto"/>
      </w:pPr>
      <w:r>
        <w:t>Instrumented asset capable of characterizing mass airflow and enthalpy.</w:t>
      </w:r>
    </w:p>
    <w:p w14:paraId="4BA677EB" w14:textId="77777777" w:rsidR="00E44DE0" w:rsidRDefault="00000000">
      <w:pPr>
        <w:pStyle w:val="Heading3"/>
        <w:rPr>
          <w:b/>
          <w:bCs/>
        </w:rPr>
      </w:pPr>
      <w:bookmarkStart w:id="16" w:name="_Toc229320690"/>
      <w:r>
        <w:rPr>
          <w:b/>
          <w:bCs/>
        </w:rPr>
        <w:t>3.2 Days 1–2: Passive Envelope Observation Under Fan-Mixed Conditions</w:t>
      </w:r>
      <w:bookmarkEnd w:id="16"/>
    </w:p>
    <w:p w14:paraId="4C534A30" w14:textId="77777777" w:rsidR="00E44DE0" w:rsidRDefault="00000000">
      <w:pPr>
        <w:numPr>
          <w:ilvl w:val="0"/>
          <w:numId w:val="7"/>
        </w:numPr>
      </w:pPr>
      <w:r>
        <w:rPr>
          <w:b/>
          <w:bCs/>
        </w:rPr>
        <w:t>Input:</w:t>
      </w:r>
    </w:p>
    <w:p w14:paraId="3251E8C8" w14:textId="77777777" w:rsidR="00E44DE0" w:rsidRDefault="00000000">
      <w:pPr>
        <w:numPr>
          <w:ilvl w:val="1"/>
          <w:numId w:val="7"/>
        </w:numPr>
      </w:pPr>
      <w:r>
        <w:t>Local weather telemetry, Eaton power data, supply-tail Venturi data (</w:t>
      </w:r>
      <w:proofErr w:type="spellStart"/>
      <w:r>
        <w:t>ṁ_air</w:t>
      </w:r>
      <w:proofErr w:type="spellEnd"/>
      <w:r>
        <w:t xml:space="preserve"> plus co-located T/RH at the Mixed Air Truth point), and in-duct return T/RH probe data.</w:t>
      </w:r>
    </w:p>
    <w:p w14:paraId="0B5C163A" w14:textId="77777777" w:rsidR="00E44DE0" w:rsidRDefault="00000000">
      <w:pPr>
        <w:numPr>
          <w:ilvl w:val="0"/>
          <w:numId w:val="7"/>
        </w:numPr>
      </w:pPr>
      <w:r>
        <w:rPr>
          <w:b/>
          <w:bCs/>
        </w:rPr>
        <w:t>Process:</w:t>
      </w:r>
    </w:p>
    <w:p w14:paraId="66CD732E" w14:textId="77777777" w:rsidR="00E44DE0" w:rsidRDefault="00000000">
      <w:pPr>
        <w:numPr>
          <w:ilvl w:val="1"/>
          <w:numId w:val="7"/>
        </w:numPr>
      </w:pPr>
      <w:r>
        <w:t xml:space="preserve">Resistive Heat &amp; Cooling Decay Test: Validating envelope R-values and detecting leakage deviating from confirmed cfm50 envelope values. The spray-foam attic-to-living-space coupling factor is treated as TBD until measured directly during this test; </w:t>
      </w:r>
      <w:proofErr w:type="spellStart"/>
      <w:r>
        <w:t>aivu_physics</w:t>
      </w:r>
      <w:proofErr w:type="spellEnd"/>
      <w:r>
        <w:t xml:space="preserve"> ships a placeholder default of 0.75 for simulation purposes only and the empirically measured value supersedes it on commissioning.</w:t>
      </w:r>
    </w:p>
    <w:p w14:paraId="72C889D1" w14:textId="77777777" w:rsidR="00E44DE0" w:rsidRDefault="00000000">
      <w:pPr>
        <w:numPr>
          <w:ilvl w:val="1"/>
          <w:numId w:val="7"/>
        </w:numPr>
      </w:pPr>
      <w:r>
        <w:t xml:space="preserve">Envelope Decay Curve: After resistive injection brings the envelope to a controlled temperature differential against outdoor conditions, the heaters are killed and the rate of return to ambient is measured. The decay curve, combined with the known injected energy, yields R-actual at the building level. Because no HVAC is operating during this measurement, the envelope number is computed without any reference to system capacity or </w:t>
      </w:r>
      <w:proofErr w:type="spellStart"/>
      <w:r>
        <w:t>efficiency.Passive</w:t>
      </w:r>
      <w:proofErr w:type="spellEnd"/>
      <w:r>
        <w:t xml:space="preserve"> Envelope Observation (Days 1–2): The air handler runs fan-only continuously, forcing indoor air toward a well-mixed state so that the in-duct return T/RH probe reading is representative of bulk conditioned-volume enthalpy rather than a locally biased microclimate. The home's natural response to outdoor forcing — diurnal temperature swings, solar gain, wind-driven infiltration — is recorded at 1 Hz and fit by the </w:t>
      </w:r>
      <w:proofErr w:type="spellStart"/>
      <w:r>
        <w:t>aivu_greybox</w:t>
      </w:r>
      <w:proofErr w:type="spellEnd"/>
      <w:r>
        <w:t xml:space="preserve"> identifier to produce an initial estimate of R-actual, cfm50 infiltration, slab F-factor, and the spray-foam attic-to-living-space coupling factor. The fan's own waste heat (Eaton-measured </w:t>
      </w:r>
      <w:proofErr w:type="spellStart"/>
      <w:r>
        <w:t>W_fan</w:t>
      </w:r>
      <w:proofErr w:type="spellEnd"/>
      <w:r>
        <w:t xml:space="preserve"> on the air handler circuit, approximately all delivered to the airstream) is carried as a known internal heat load in the energy balance. Before any envelope fit is attempted, </w:t>
      </w:r>
      <w:proofErr w:type="spellStart"/>
      <w:r>
        <w:t>aivu_greybox</w:t>
      </w:r>
      <w:proofErr w:type="spellEnd"/>
      <w:r>
        <w:t xml:space="preserve"> runs the Fan-Heat Consistency Check as a required Day-1 instrument-validation gate: with the compressor off, the enthalpy rise across the air handler — </w:t>
      </w:r>
      <w:proofErr w:type="spellStart"/>
      <w:r>
        <w:t>Δh_fan</w:t>
      </w:r>
      <w:proofErr w:type="spellEnd"/>
      <w:r>
        <w:t xml:space="preserve"> = h(</w:t>
      </w:r>
      <w:proofErr w:type="spellStart"/>
      <w:r>
        <w:t>T_supply</w:t>
      </w:r>
      <w:proofErr w:type="spellEnd"/>
      <w:r>
        <w:t xml:space="preserve">, </w:t>
      </w:r>
      <w:proofErr w:type="spellStart"/>
      <w:r>
        <w:t>RH_supply</w:t>
      </w:r>
      <w:proofErr w:type="spellEnd"/>
      <w:r>
        <w:t>) − h(</w:t>
      </w:r>
      <w:proofErr w:type="spellStart"/>
      <w:r>
        <w:t>T_return</w:t>
      </w:r>
      <w:proofErr w:type="spellEnd"/>
      <w:r>
        <w:t xml:space="preserve">, </w:t>
      </w:r>
      <w:proofErr w:type="spellStart"/>
      <w:r>
        <w:t>RH_return</w:t>
      </w:r>
      <w:proofErr w:type="spellEnd"/>
      <w:r>
        <w:t xml:space="preserve">), multiplied by the supply Venturi </w:t>
      </w:r>
      <w:proofErr w:type="spellStart"/>
      <w:r>
        <w:t>ṁ_air</w:t>
      </w:r>
      <w:proofErr w:type="spellEnd"/>
      <w:r>
        <w:t xml:space="preserve"> — must agree with </w:t>
      </w:r>
      <w:proofErr w:type="spellStart"/>
      <w:r>
        <w:t>W_fan</w:t>
      </w:r>
      <w:proofErr w:type="spellEnd"/>
      <w:r>
        <w:t xml:space="preserve"> from the breaker, within the combined measurement uncertainty of the two paths. Agreement validates the entire instrument chain (supply Venturi, T/RH probes, psychrometric enthalpy computation, Eaton breaker on the air handler circuit) that the rest of commissioning depends on. </w:t>
      </w:r>
      <w:r>
        <w:lastRenderedPageBreak/>
        <w:t xml:space="preserve">Disagreement is a leading indicator of sensor miscalibration, duct leakage, or breaker </w:t>
      </w:r>
      <w:proofErr w:type="gramStart"/>
      <w:r>
        <w:t>mis-reporting</w:t>
      </w:r>
      <w:proofErr w:type="gramEnd"/>
      <w:r>
        <w:t xml:space="preserve"> that would otherwise propagate silently into the envelope posterior; the Day 1–2 fit does not proceed until the failure is resolved. Pass/fail and the numerical residual are written to the audit trail as part of the Digital Birth Certificate evidence package. If the Day 1–2 weather window happens to be thermally too quiet to excite envelope parameters at adequate signal-to-noise, a resistive space heater of known power is added as an active fallback injection — but this is the fallback, not the primary method. The primary method is passive.</w:t>
      </w:r>
    </w:p>
    <w:p w14:paraId="125C1C87" w14:textId="77777777" w:rsidR="00E44DE0" w:rsidRDefault="00000000">
      <w:pPr>
        <w:numPr>
          <w:ilvl w:val="0"/>
          <w:numId w:val="7"/>
        </w:numPr>
      </w:pPr>
      <w:r>
        <w:rPr>
          <w:b/>
          <w:bCs/>
        </w:rPr>
        <w:t>Output:</w:t>
      </w:r>
    </w:p>
    <w:p w14:paraId="72BF156C" w14:textId="77777777" w:rsidR="00E44DE0" w:rsidRDefault="00000000">
      <w:pPr>
        <w:numPr>
          <w:ilvl w:val="1"/>
          <w:numId w:val="7"/>
        </w:numPr>
      </w:pPr>
      <w:r>
        <w:rPr>
          <w:b/>
          <w:bCs/>
        </w:rPr>
        <w:t>"Digital Birth Certificate"</w:t>
      </w:r>
      <w:r>
        <w:t xml:space="preserve"> (envelope half): Immutable record of measured envelope R-actual, infiltration (cfm50 confirmed), and the empirically measured spray-foam attic-to-living-space coupling factor that supersedes the </w:t>
      </w:r>
      <w:proofErr w:type="spellStart"/>
      <w:r>
        <w:t>aivu_physics</w:t>
      </w:r>
      <w:proofErr w:type="spellEnd"/>
      <w:r>
        <w:t xml:space="preserve"> placeholder. Signed and committed before any HVAC operation could confound the measurement.</w:t>
      </w:r>
    </w:p>
    <w:p w14:paraId="27A5BAC9" w14:textId="77777777" w:rsidR="00E44DE0" w:rsidRDefault="00000000">
      <w:pPr>
        <w:numPr>
          <w:ilvl w:val="1"/>
          <w:numId w:val="7"/>
        </w:numPr>
      </w:pPr>
      <w:r>
        <w:rPr>
          <w:b/>
          <w:bCs/>
        </w:rPr>
        <w:t>Calibration Matrix:</w:t>
      </w:r>
      <w:r>
        <w:t xml:space="preserve"> Updated PINN model in the BDT reflecting the home’s unique “fingerprint,” from which refined certainty-equivalent parameters are distilled for the HPM.</w:t>
      </w:r>
    </w:p>
    <w:p w14:paraId="1BFB6FBD" w14:textId="77777777" w:rsidR="00E44DE0" w:rsidRDefault="00000000">
      <w:pPr>
        <w:pStyle w:val="Heading3"/>
        <w:rPr>
          <w:b/>
          <w:bCs/>
        </w:rPr>
      </w:pPr>
      <w:bookmarkStart w:id="17" w:name="_Toc229320691"/>
      <w:r>
        <w:rPr>
          <w:b/>
          <w:bCs/>
        </w:rPr>
        <w:t>3.3 Day 3: HVAC System Calibration — Operating-Point Map Construction</w:t>
      </w:r>
      <w:bookmarkEnd w:id="17"/>
    </w:p>
    <w:p w14:paraId="17FA5A6A" w14:textId="77777777" w:rsidR="00E44DE0" w:rsidRDefault="00000000">
      <w:pPr>
        <w:numPr>
          <w:ilvl w:val="0"/>
          <w:numId w:val="7"/>
        </w:numPr>
      </w:pPr>
      <w:r>
        <w:rPr>
          <w:b/>
          <w:bCs/>
        </w:rPr>
        <w:t>Input:</w:t>
      </w:r>
    </w:p>
    <w:p w14:paraId="7A6B432F" w14:textId="77777777" w:rsidR="00E44DE0" w:rsidRDefault="00000000">
      <w:pPr>
        <w:numPr>
          <w:ilvl w:val="1"/>
          <w:numId w:val="7"/>
        </w:numPr>
      </w:pPr>
      <w:r>
        <w:t>Verified envelope R-actual and infiltration values from Section 3.2 (the envelope half of the Digital Birth Certificate, signed and immutable before this track begins).</w:t>
      </w:r>
    </w:p>
    <w:p w14:paraId="7FFD687E" w14:textId="77777777" w:rsidR="00E44DE0" w:rsidRDefault="00000000">
      <w:pPr>
        <w:numPr>
          <w:ilvl w:val="1"/>
          <w:numId w:val="7"/>
        </w:numPr>
      </w:pPr>
      <w:r>
        <w:t xml:space="preserve">Local weather telemetry, Eaton power data, and supply/return airflow and enthalpy </w:t>
      </w:r>
      <w:proofErr w:type="spellStart"/>
      <w:r>
        <w:t>data.Local</w:t>
      </w:r>
      <w:proofErr w:type="spellEnd"/>
      <w:r>
        <w:t xml:space="preserve"> weather telemetry; Eaton per-circuit power data at 1 Hz (condenser, air handler, and all plug-load circuits); supply-tail Venturi giving </w:t>
      </w:r>
      <w:proofErr w:type="spellStart"/>
      <w:r>
        <w:t>ṁ_air</w:t>
      </w:r>
      <w:proofErr w:type="spellEnd"/>
      <w:r>
        <w:t xml:space="preserve"> plus co-located T/RH at the Mixed Air Truth point (post-coil, post-any-bypass); in-duct return T/RH probe giving return-side enthalpy (no return-side Venturi — mass flow through the coil is obtained by continuity from the supply-tail Venturi); and the envelope characterization from Section 3.2 as a known starting point.</w:t>
      </w:r>
    </w:p>
    <w:p w14:paraId="379EA4BB" w14:textId="77777777" w:rsidR="00E44DE0" w:rsidRDefault="00000000">
      <w:pPr>
        <w:numPr>
          <w:ilvl w:val="0"/>
          <w:numId w:val="7"/>
        </w:numPr>
      </w:pPr>
      <w:r>
        <w:rPr>
          <w:b/>
          <w:bCs/>
        </w:rPr>
        <w:t>Process:</w:t>
      </w:r>
    </w:p>
    <w:p w14:paraId="5C22769E" w14:textId="77777777" w:rsidR="00E44DE0" w:rsidRDefault="00000000">
      <w:pPr>
        <w:numPr>
          <w:ilvl w:val="1"/>
          <w:numId w:val="7"/>
        </w:numPr>
      </w:pPr>
      <w:r>
        <w:t xml:space="preserve">Cooling Capacity Check: Calculating delivered system capacity and EER (measuring real-time enthalpy difference between supply and return air at the Mixed Air Truth point — supply duct tail, not behind the coil). Because the envelope's R-actual is now a known constant from Section 3.2, any deviation between predicted and delivered cooling capacity is unambiguously attributable to the HVAC system itself rather than to envelope </w:t>
      </w:r>
      <w:proofErr w:type="spellStart"/>
      <w:r>
        <w:t>assumptions.Operating</w:t>
      </w:r>
      <w:proofErr w:type="spellEnd"/>
      <w:r>
        <w:t xml:space="preserve">-Point Map Construction: Day 3 is dedicated entirely to exercising the HVAC across a </w:t>
      </w:r>
      <w:r>
        <w:lastRenderedPageBreak/>
        <w:t xml:space="preserve">range of operating conditions to construct a measured (Capacity, EER) map as a function of outdoor dry-bulb, return-air T and RH, air handler fan speed, and compressor stage (where the equipment is variable-speed or multi-stage). Each HVAC-on interval yields a data point: instantaneous electrical input W is measured by the Eaton breakers on the condenser and air handler circuits; mass airflow </w:t>
      </w:r>
      <w:proofErr w:type="spellStart"/>
      <w:r>
        <w:t>ṁ_air</w:t>
      </w:r>
      <w:proofErr w:type="spellEnd"/>
      <w:r>
        <w:t xml:space="preserve"> is measured by the supply-tail Venturi; supply-side enthalpy </w:t>
      </w:r>
      <w:proofErr w:type="spellStart"/>
      <w:r>
        <w:t>h_supply</w:t>
      </w:r>
      <w:proofErr w:type="spellEnd"/>
      <w:r>
        <w:t xml:space="preserve"> is computed from the supply T/RH co-located with the Venturi at the Mixed Air Truth point; return-side enthalpy </w:t>
      </w:r>
      <w:proofErr w:type="spellStart"/>
      <w:r>
        <w:t>h_return</w:t>
      </w:r>
      <w:proofErr w:type="spellEnd"/>
      <w:r>
        <w:t xml:space="preserve"> is computed from the in-duct return T/RH probe. Instantaneous cooling capacity is then </w:t>
      </w:r>
      <w:proofErr w:type="spellStart"/>
      <w:r>
        <w:t>Q_cool</w:t>
      </w:r>
      <w:proofErr w:type="spellEnd"/>
      <w:r>
        <w:t xml:space="preserve"> = </w:t>
      </w:r>
      <w:proofErr w:type="spellStart"/>
      <w:r>
        <w:t>ṁ_air</w:t>
      </w:r>
      <w:proofErr w:type="spellEnd"/>
      <w:r>
        <w:t xml:space="preserve"> × (</w:t>
      </w:r>
      <w:proofErr w:type="spellStart"/>
      <w:r>
        <w:t>h_return</w:t>
      </w:r>
      <w:proofErr w:type="spellEnd"/>
      <w:r>
        <w:t xml:space="preserve"> − </w:t>
      </w:r>
      <w:proofErr w:type="spellStart"/>
      <w:r>
        <w:t>h_supply</w:t>
      </w:r>
      <w:proofErr w:type="spellEnd"/>
      <w:r>
        <w:t xml:space="preserve">), and instantaneous EER = </w:t>
      </w:r>
      <w:proofErr w:type="spellStart"/>
      <w:r>
        <w:t>Q_cool</w:t>
      </w:r>
      <w:proofErr w:type="spellEnd"/>
      <w:r>
        <w:t xml:space="preserve"> / W. Repeated cycles across the 24-hour Day 3 window sample different outdoor temperatures (diurnal swing), different indoor setpoints (AIVU walks the setpoint deliberately), and different part-load states (short-cycling is intentionally induced where appropriate to sample start-up transients), building up the operating-point map. The HVAC half of the Digital Birth Certificate is the signed snapshot of that map at the end of Day 3 — but the map itself continues to be refined for the entire operational life of the installation. This is what keeps the HVAC usable as a calibrated sensor indefinitely, not merely as once-certified equipment. Because the envelope is already characterized from Days 1–2, any deviation between predicted and delivered cooling capacity during Day 3 is unambiguously attributable to the HVAC itself rather than to envelope assumptions.</w:t>
      </w:r>
    </w:p>
    <w:p w14:paraId="312D7FB0" w14:textId="77777777" w:rsidR="00E44DE0" w:rsidRDefault="00000000">
      <w:pPr>
        <w:numPr>
          <w:ilvl w:val="1"/>
          <w:numId w:val="7"/>
        </w:numPr>
      </w:pPr>
      <w:r>
        <w:t xml:space="preserve">Heating Capacity Check (climate-permitting): The same delivered-capacity logic applied to the furnace or heat pump in heating mode, producing measured AFUE-actual or COP-actual at the home's local altitude and refrigerant charge. In climates where the 5-day window does not span sufficient heating load for a clean test, this measurement is deferred to Phase 2 with an explicit pending flag on the HVAC half of the Birth </w:t>
      </w:r>
      <w:proofErr w:type="spellStart"/>
      <w:r>
        <w:t>Certificate.Heating</w:t>
      </w:r>
      <w:proofErr w:type="spellEnd"/>
      <w:r>
        <w:t xml:space="preserve"> Capacity Check (climate-permitting): The same measurement chain applied in heating mode, yielding instantaneous </w:t>
      </w:r>
      <w:proofErr w:type="spellStart"/>
      <w:r>
        <w:t>Q_heat</w:t>
      </w:r>
      <w:proofErr w:type="spellEnd"/>
      <w:r>
        <w:t xml:space="preserve"> = </w:t>
      </w:r>
      <w:proofErr w:type="spellStart"/>
      <w:r>
        <w:t>ṁ_air</w:t>
      </w:r>
      <w:proofErr w:type="spellEnd"/>
      <w:r>
        <w:t xml:space="preserve"> × (</w:t>
      </w:r>
      <w:proofErr w:type="spellStart"/>
      <w:r>
        <w:t>h_supply</w:t>
      </w:r>
      <w:proofErr w:type="spellEnd"/>
      <w:r>
        <w:t xml:space="preserve"> − </w:t>
      </w:r>
      <w:proofErr w:type="spellStart"/>
      <w:r>
        <w:t>h_return</w:t>
      </w:r>
      <w:proofErr w:type="spellEnd"/>
      <w:r>
        <w:t xml:space="preserve">) and measured AFUE-actual (for the 97% gas furnace) or COP-actual (for heat pump mode), at the home's local altitude and refrigerant charge. In climates where the Day 3 window does not span sufficient heating load for a clean test, this row of the operating-point map is deferred to first-winter Phase 2 operation with an explicit pending flag on the HVAC half of the Birth </w:t>
      </w:r>
      <w:proofErr w:type="gramStart"/>
      <w:r>
        <w:t>Certificate, and</w:t>
      </w:r>
      <w:proofErr w:type="gramEnd"/>
      <w:r>
        <w:t xml:space="preserve"> filled in when outdoor conditions first permit.</w:t>
      </w:r>
    </w:p>
    <w:p w14:paraId="3988592E" w14:textId="77777777" w:rsidR="00E44DE0" w:rsidRDefault="00000000">
      <w:pPr>
        <w:numPr>
          <w:ilvl w:val="1"/>
          <w:numId w:val="7"/>
        </w:numPr>
      </w:pPr>
      <w:r>
        <w:t>Distribution Verification: Per-register airflow and per-room delivered enthalpy compared against ACCA Manual D design intent, identifying register-level deficits before the homeowner ever experiences them.</w:t>
      </w:r>
    </w:p>
    <w:p w14:paraId="3ED2162C" w14:textId="77777777" w:rsidR="00E44DE0" w:rsidRDefault="00000000">
      <w:pPr>
        <w:numPr>
          <w:ilvl w:val="0"/>
          <w:numId w:val="7"/>
        </w:numPr>
      </w:pPr>
      <w:r>
        <w:rPr>
          <w:b/>
          <w:bCs/>
        </w:rPr>
        <w:t>Output:</w:t>
      </w:r>
    </w:p>
    <w:p w14:paraId="1CA9755F" w14:textId="77777777" w:rsidR="00E44DE0" w:rsidRDefault="00000000">
      <w:pPr>
        <w:numPr>
          <w:ilvl w:val="1"/>
          <w:numId w:val="7"/>
        </w:numPr>
      </w:pPr>
      <w:r>
        <w:rPr>
          <w:b/>
          <w:bCs/>
        </w:rPr>
        <w:lastRenderedPageBreak/>
        <w:t>"Digital Birth Certificate" (HVAC half):</w:t>
      </w:r>
      <w:r>
        <w:t xml:space="preserve"> Immutable record of measured delivered cooling capacity, EER-actual, heating capacity (where measurable), and per-register distribution conformance. Combined with the envelope half from Section 3.2, this completes the Digital Birth Certificate as a single document containing two independently commissioned numbers.</w:t>
      </w:r>
    </w:p>
    <w:p w14:paraId="2C0879C1" w14:textId="77777777" w:rsidR="00E44DE0" w:rsidRDefault="00000000">
      <w:pPr>
        <w:numPr>
          <w:ilvl w:val="1"/>
          <w:numId w:val="7"/>
        </w:numPr>
      </w:pPr>
      <w:r>
        <w:rPr>
          <w:b/>
          <w:bCs/>
        </w:rPr>
        <w:t>Compliance Score:</w:t>
      </w:r>
      <w:r>
        <w:t xml:space="preserve"> A unified pass/fail/rework verdict that releases subcontractor payment, computed against ACCA Manual J/S/D targets but referencing the now-empirically-measured envelope rather than the design assumption.</w:t>
      </w:r>
    </w:p>
    <w:p w14:paraId="5C33BC73" w14:textId="77777777" w:rsidR="00E44DE0" w:rsidRDefault="00000000">
      <w:pPr>
        <w:pStyle w:val="Heading3"/>
        <w:rPr>
          <w:b/>
          <w:bCs/>
        </w:rPr>
      </w:pPr>
      <w:bookmarkStart w:id="18" w:name="_Toc229320692"/>
      <w:r>
        <w:rPr>
          <w:b/>
          <w:bCs/>
        </w:rPr>
        <w:t>3.4 Days 4–5: Active Envelope Characterization Using the Calibrated HVAC</w:t>
      </w:r>
      <w:bookmarkEnd w:id="18"/>
    </w:p>
    <w:p w14:paraId="47D171BA" w14:textId="77777777" w:rsidR="00E44DE0" w:rsidRDefault="00000000">
      <w:r>
        <w:t>Having spent Day 3 turning the HVAC into a calibrated measurement instrument, AIVU now uses that instrument in reverse: as a controllable heat source and sink to actively perturb the building envelope at much higher signal amplitude than passive observation can achieve. The Day 1–2 passive estimate becomes the starting point for Days 4–5, which tighten it. At the end of Day 5 the envelope half of the Digital Birth Certificate is re-signed with the refined characterization, and the home is ready for occupancy.</w:t>
      </w:r>
    </w:p>
    <w:p w14:paraId="4904C044" w14:textId="77777777" w:rsidR="00E44DE0" w:rsidRDefault="00000000">
      <w:pPr>
        <w:numPr>
          <w:ilvl w:val="0"/>
          <w:numId w:val="7"/>
        </w:numPr>
      </w:pPr>
      <w:r>
        <w:rPr>
          <w:b/>
          <w:bCs/>
        </w:rPr>
        <w:t>Input:</w:t>
      </w:r>
    </w:p>
    <w:p w14:paraId="5650C66C" w14:textId="77777777" w:rsidR="00E44DE0" w:rsidRDefault="00000000">
      <w:pPr>
        <w:numPr>
          <w:ilvl w:val="1"/>
          <w:numId w:val="7"/>
        </w:numPr>
      </w:pPr>
      <w:r>
        <w:t xml:space="preserve">Verified HVAC operating-point map from Section 3.3 (Day 3 output); Day 1–2 envelope characterization from Section 3.2 as starting point; weather telemetry; continued 1 Hz sensor stream (Eaton per-circuit W, supply-tail Venturi </w:t>
      </w:r>
      <w:proofErr w:type="spellStart"/>
      <w:r>
        <w:t>ṁ_air</w:t>
      </w:r>
      <w:proofErr w:type="spellEnd"/>
      <w:r>
        <w:t xml:space="preserve"> and T/RH, return T/RH probe, per-room T/RH).</w:t>
      </w:r>
    </w:p>
    <w:p w14:paraId="73D8EF47" w14:textId="77777777" w:rsidR="00E44DE0" w:rsidRDefault="00000000">
      <w:pPr>
        <w:numPr>
          <w:ilvl w:val="0"/>
          <w:numId w:val="7"/>
        </w:numPr>
      </w:pPr>
      <w:r>
        <w:rPr>
          <w:b/>
          <w:bCs/>
        </w:rPr>
        <w:t>Process:</w:t>
      </w:r>
    </w:p>
    <w:p w14:paraId="64607306" w14:textId="77777777" w:rsidR="00E44DE0" w:rsidRDefault="00000000">
      <w:pPr>
        <w:numPr>
          <w:ilvl w:val="1"/>
          <w:numId w:val="7"/>
        </w:numPr>
      </w:pPr>
      <w:r>
        <w:t xml:space="preserve">Steady-State Hold Test: Drive the indoor setpoint to a deliberately large differential against outdoor ambient (heating or cooling as the climate permits) and hold it. Under </w:t>
      </w:r>
      <w:proofErr w:type="gramStart"/>
      <w:r>
        <w:t>steady-state</w:t>
      </w:r>
      <w:proofErr w:type="gramEnd"/>
      <w:r>
        <w:t>, the calibrated Q_HVAC exactly balances envelope conduction plus infiltration plus fan heat plus any residual solar gain, which collapses the envelope energy balance to a single equation in (</w:t>
      </w:r>
      <w:proofErr w:type="spellStart"/>
      <w:r>
        <w:t>UA_envelope</w:t>
      </w:r>
      <w:proofErr w:type="spellEnd"/>
      <w:r>
        <w:t xml:space="preserve">, infiltration coefficient). The steady-state ratio gives </w:t>
      </w:r>
      <w:proofErr w:type="spellStart"/>
      <w:r>
        <w:t>UA_envelope</w:t>
      </w:r>
      <w:proofErr w:type="spellEnd"/>
      <w:r>
        <w:t xml:space="preserve"> with high precision because signal amplitude is now large.</w:t>
      </w:r>
    </w:p>
    <w:p w14:paraId="63298D29" w14:textId="77777777" w:rsidR="00E44DE0" w:rsidRDefault="00000000">
      <w:pPr>
        <w:numPr>
          <w:ilvl w:val="1"/>
          <w:numId w:val="7"/>
        </w:numPr>
      </w:pPr>
      <w:r>
        <w:t>Decay Test: After an elevated indoor temperature has been held, cut the HVAC and measure the exponential relaxation toward outdoor conditions. The time constant τ = R·C combined with the steady-state UA gives R and C independently — a degeneracy that cannot be broken from passive observation alone at normal indoor amplitudes.</w:t>
      </w:r>
    </w:p>
    <w:p w14:paraId="4C1951E2" w14:textId="77777777" w:rsidR="00E44DE0" w:rsidRDefault="00000000">
      <w:pPr>
        <w:numPr>
          <w:ilvl w:val="1"/>
          <w:numId w:val="7"/>
        </w:numPr>
      </w:pPr>
      <w:r>
        <w:t xml:space="preserve">Refined Characterization: The Days 1–2 grey-box estimate is used as the starting point for an </w:t>
      </w:r>
      <w:proofErr w:type="spellStart"/>
      <w:r>
        <w:t>aivu_greybox</w:t>
      </w:r>
      <w:proofErr w:type="spellEnd"/>
      <w:r>
        <w:t xml:space="preserve"> fit to the Days 4–5 active data. Because Day 3 has already calibrated Q_HVAC to the accuracy of the instrument chain rather than the </w:t>
      </w:r>
      <w:r>
        <w:lastRenderedPageBreak/>
        <w:t>accuracy of nameplate, there is no circular dependence between the envelope fit and the HVAC assumption. The combined characterization becomes the final envelope baseline.</w:t>
      </w:r>
    </w:p>
    <w:p w14:paraId="02672BD7" w14:textId="77777777" w:rsidR="00E44DE0" w:rsidRDefault="00000000">
      <w:pPr>
        <w:numPr>
          <w:ilvl w:val="0"/>
          <w:numId w:val="7"/>
        </w:numPr>
      </w:pPr>
      <w:r>
        <w:rPr>
          <w:b/>
          <w:bCs/>
        </w:rPr>
        <w:t>Output:</w:t>
      </w:r>
    </w:p>
    <w:p w14:paraId="4B097753" w14:textId="77777777" w:rsidR="00E44DE0" w:rsidRDefault="00000000">
      <w:pPr>
        <w:numPr>
          <w:ilvl w:val="1"/>
          <w:numId w:val="7"/>
        </w:numPr>
      </w:pPr>
      <w:r>
        <w:rPr>
          <w:b/>
          <w:bCs/>
        </w:rPr>
        <w:t xml:space="preserve">Final Envelope Baseline: </w:t>
      </w:r>
      <w:r>
        <w:t>Refined envelope characterization (R, C, infiltration coefficients, slab F-factor, attic-to-living coupling) at substantially tighter confidence intervals than Days 1–2 alone, signed and committed as the final envelope half of the Digital Birth Certificate. This is the number against which all future Phase 2 drift detection is compared.</w:t>
      </w:r>
    </w:p>
    <w:p w14:paraId="4533890A" w14:textId="77777777" w:rsidR="00E44DE0" w:rsidRDefault="00000000">
      <w:pPr>
        <w:pStyle w:val="Heading2"/>
        <w:rPr>
          <w:b/>
          <w:bCs/>
          <w:sz w:val="28"/>
          <w:szCs w:val="28"/>
        </w:rPr>
      </w:pPr>
      <w:bookmarkStart w:id="19" w:name="_Toc229320693"/>
      <w:r>
        <w:rPr>
          <w:b/>
          <w:bCs/>
          <w:sz w:val="28"/>
          <w:szCs w:val="28"/>
        </w:rPr>
        <w:t>4. Phase 2 — Continuous Envelope Drift Monitoring (Post-Occupancy)</w:t>
      </w:r>
      <w:bookmarkEnd w:id="19"/>
    </w:p>
    <w:p w14:paraId="651D25F6" w14:textId="77777777" w:rsidR="00E44DE0" w:rsidRDefault="00000000">
      <w:r>
        <w:t xml:space="preserve">Continuous monitoring of envelope drift against the Phase 1 baseline established in Section 3.2. The primary characterization of the envelope happens once, before occupancy, in Phase 1; Phase 2 is the ongoing verification that the as-commissioned envelope continues to behave the way it was measured to behave </w:t>
      </w:r>
      <w:proofErr w:type="gramStart"/>
      <w:r>
        <w:t>at the moment</w:t>
      </w:r>
      <w:proofErr w:type="gramEnd"/>
      <w:r>
        <w:t xml:space="preserve"> the Digital Birth Certificate was signed. Drift detection here surfaces real degradation events — bulk insulation settlement, undetected envelope penetrations, foam delamination, window seal failure — and distinguishes them from occupant-driven thermal load variations through the Internal Heat Load Correction described below. The "circular logic defect" of habitual HVAC oversizing is already broken in Phase 1; Phase 2 keeps it broken across the asset's life.</w:t>
      </w:r>
    </w:p>
    <w:p w14:paraId="2A464CB3" w14:textId="77777777" w:rsidR="00E44DE0" w:rsidRDefault="00000000">
      <w:r>
        <w:t xml:space="preserve">Before describing the Phase 2 drift detection mechanism, one architectural consequence of Phase 1 is worth making explicit. Phase 1 turned the HVAC from an uncalibrated appliance into a calibrated measurement instrument. Phase 2 then uses that instrument in precisely the role that was previously impossible: as the primary sensor through which the building envelope is continuously observed. At every 1 Hz timestep during occupied operation, Q_HVAC is known to the fidelity of the Day 3 operating-point map (and is continuously refined by every additional HVAC-on moment), </w:t>
      </w:r>
      <w:proofErr w:type="spellStart"/>
      <w:r>
        <w:t>Q_solar</w:t>
      </w:r>
      <w:proofErr w:type="spellEnd"/>
      <w:r>
        <w:t xml:space="preserve"> is known from the weather station plus the </w:t>
      </w:r>
      <w:proofErr w:type="spellStart"/>
      <w:r>
        <w:t>aivu_physics</w:t>
      </w:r>
      <w:proofErr w:type="spellEnd"/>
      <w:r>
        <w:t xml:space="preserve"> solar model, </w:t>
      </w:r>
      <w:proofErr w:type="spellStart"/>
      <w:r>
        <w:t>Q_internal</w:t>
      </w:r>
      <w:proofErr w:type="spellEnd"/>
      <w:r>
        <w:t xml:space="preserve"> is known from Eaton-based behavioral subtraction of plug loads and occupant heat, and </w:t>
      </w:r>
      <w:proofErr w:type="spellStart"/>
      <w:r>
        <w:t>Q_infiltration</w:t>
      </w:r>
      <w:proofErr w:type="spellEnd"/>
      <w:r>
        <w:t xml:space="preserve"> is anchored to the Phase 1 baseline cfm50. The only unknown left in the envelope energy balance is the envelope response itself. That residual is what </w:t>
      </w:r>
      <w:proofErr w:type="spellStart"/>
      <w:r>
        <w:t>aivu_greybox</w:t>
      </w:r>
      <w:proofErr w:type="spellEnd"/>
      <w:r>
        <w:t xml:space="preserve">, the HPM-resident grey-box identifier, tracks recursively at heartbeat cadence — the same physics core that produced the Day 1–2 and Day 4–5 batch posteriors, now running in Kalman-style recursive mode against the Day 5 baseline. The HPM uplinks updated posteriors to the BDT, where they refine the cohort PINN; the BDT distills updated certainty-equivalent controller parameters from the refined PINN, signs them through the Clearinghouse, and pushes them back to the HPM’s bounded MRAC inner loop for closed-loop control. The grey-box identifier on the HPM and the cohort PINN in the BDT are two coupled learning loops, not one cloud-resident model. This is the sense in which envelope characterization never actually ends: </w:t>
      </w:r>
      <w:r>
        <w:lastRenderedPageBreak/>
        <w:t>it starts in Days 1–2, is brought to high SNR in Days 4–</w:t>
      </w:r>
      <w:proofErr w:type="gramStart"/>
      <w:r>
        <w:t>5, and</w:t>
      </w:r>
      <w:proofErr w:type="gramEnd"/>
      <w:r>
        <w:t xml:space="preserve"> is thereafter maintained at 1 Hz for the life of the installation, with the calibrated HVAC as the observing instrument.</w:t>
      </w:r>
    </w:p>
    <w:p w14:paraId="65F92BF1" w14:textId="77777777" w:rsidR="00E44DE0" w:rsidRDefault="00000000">
      <w:pPr>
        <w:pStyle w:val="Heading3"/>
        <w:spacing w:line="240" w:lineRule="auto"/>
        <w:rPr>
          <w:b/>
          <w:bCs/>
        </w:rPr>
      </w:pPr>
      <w:bookmarkStart w:id="20" w:name="_Toc229320694"/>
      <w:r>
        <w:rPr>
          <w:b/>
          <w:bCs/>
        </w:rPr>
        <w:t>4.1 Drift Detection Against the Phase 1 Envelope Baseline: Internal Heat Load Correction</w:t>
      </w:r>
      <w:bookmarkEnd w:id="20"/>
    </w:p>
    <w:p w14:paraId="2317B03E" w14:textId="77777777" w:rsidR="00E44DE0" w:rsidRDefault="00000000">
      <w:pPr>
        <w:numPr>
          <w:ilvl w:val="0"/>
          <w:numId w:val="8"/>
        </w:numPr>
        <w:spacing w:line="240" w:lineRule="auto"/>
      </w:pPr>
      <w:r>
        <w:rPr>
          <w:b/>
          <w:bCs/>
        </w:rPr>
        <w:t>Input:</w:t>
      </w:r>
    </w:p>
    <w:p w14:paraId="5ED0FF62" w14:textId="77777777" w:rsidR="00E44DE0" w:rsidRDefault="00000000">
      <w:pPr>
        <w:numPr>
          <w:ilvl w:val="1"/>
          <w:numId w:val="8"/>
        </w:numPr>
        <w:spacing w:line="240" w:lineRule="auto"/>
      </w:pPr>
      <w:r>
        <w:t>1Hz data from Eaton smart circuit breakers for all relevant appliances.</w:t>
      </w:r>
    </w:p>
    <w:p w14:paraId="12E229AC" w14:textId="77777777" w:rsidR="00E44DE0" w:rsidRDefault="00000000">
      <w:pPr>
        <w:numPr>
          <w:ilvl w:val="1"/>
          <w:numId w:val="8"/>
        </w:numPr>
        <w:spacing w:line="240" w:lineRule="auto"/>
      </w:pPr>
      <w:r>
        <w:t>BTU measurements from the HVAC system.</w:t>
      </w:r>
    </w:p>
    <w:p w14:paraId="09656183" w14:textId="77777777" w:rsidR="00E44DE0" w:rsidRDefault="00000000">
      <w:pPr>
        <w:numPr>
          <w:ilvl w:val="0"/>
          <w:numId w:val="8"/>
        </w:numPr>
        <w:spacing w:line="240" w:lineRule="auto"/>
      </w:pPr>
      <w:r>
        <w:rPr>
          <w:b/>
          <w:bCs/>
        </w:rPr>
        <w:t>Process:</w:t>
      </w:r>
    </w:p>
    <w:p w14:paraId="115A90A5" w14:textId="77777777" w:rsidR="00E44DE0" w:rsidRDefault="00000000">
      <w:pPr>
        <w:numPr>
          <w:ilvl w:val="1"/>
          <w:numId w:val="8"/>
        </w:numPr>
        <w:spacing w:line="240" w:lineRule="auto"/>
      </w:pPr>
      <w:r>
        <w:t>Conversion &amp; Subtraction: Converting electrical Watts of appliance consumption to thermal BTUs and subtracting that result from measured total heat load.</w:t>
      </w:r>
    </w:p>
    <w:p w14:paraId="5A6BCA4E" w14:textId="77777777" w:rsidR="00E44DE0" w:rsidRDefault="00000000">
      <w:pPr>
        <w:numPr>
          <w:ilvl w:val="0"/>
          <w:numId w:val="8"/>
        </w:numPr>
        <w:spacing w:line="240" w:lineRule="auto"/>
      </w:pPr>
      <w:r>
        <w:rPr>
          <w:b/>
          <w:bCs/>
        </w:rPr>
        <w:t>Output:</w:t>
      </w:r>
    </w:p>
    <w:p w14:paraId="743CED4C" w14:textId="77777777" w:rsidR="00E44DE0" w:rsidRDefault="00000000">
      <w:pPr>
        <w:numPr>
          <w:ilvl w:val="1"/>
          <w:numId w:val="8"/>
        </w:numPr>
        <w:spacing w:line="240" w:lineRule="auto"/>
      </w:pPr>
      <w:r>
        <w:t>Net Thermal Load data stream representing the envelope contribution independent of occupant appliance use. Compared continuously against the Phase 1 envelope baseline (R-actual, infiltration, foam coupling factor) recorded in the Digital Birth Certificate, this stream is the live drift signal — any statistically significant divergence from baseline is flagged as a candidate envelope degradation event for investigation, not as a recalibration of the baseline itself.</w:t>
      </w:r>
    </w:p>
    <w:p w14:paraId="60686A14" w14:textId="77777777" w:rsidR="00E44DE0" w:rsidRDefault="00E44DE0">
      <w:pPr>
        <w:rPr>
          <w:b/>
          <w:bCs/>
          <w:sz w:val="28"/>
          <w:szCs w:val="28"/>
        </w:rPr>
      </w:pPr>
    </w:p>
    <w:p w14:paraId="20BA69A5" w14:textId="77777777" w:rsidR="00E44DE0" w:rsidRDefault="00000000">
      <w:pPr>
        <w:pStyle w:val="Heading2"/>
        <w:rPr>
          <w:b/>
          <w:bCs/>
          <w:sz w:val="28"/>
          <w:szCs w:val="28"/>
        </w:rPr>
      </w:pPr>
      <w:bookmarkStart w:id="21" w:name="_Toc229320695"/>
      <w:r>
        <w:rPr>
          <w:b/>
          <w:bCs/>
          <w:sz w:val="28"/>
          <w:szCs w:val="28"/>
        </w:rPr>
        <w:t>5. Phase 3: Cohort Intelligence (Metcalfe’s Law)</w:t>
      </w:r>
      <w:bookmarkEnd w:id="21"/>
    </w:p>
    <w:p w14:paraId="2A739365" w14:textId="77777777" w:rsidR="00E44DE0" w:rsidRDefault="00000000">
      <w:r>
        <w:t>Aggregating home performance at the Big Digital Twin to derive unassailable Master Reference Models (</w:t>
      </w:r>
      <w:r>
        <w:rPr>
          <w:b/>
          <w:bCs/>
        </w:rPr>
        <w:t>"M"</w:t>
      </w:r>
      <w:r>
        <w:t>).</w:t>
      </w:r>
    </w:p>
    <w:p w14:paraId="2EEA42DD" w14:textId="77777777" w:rsidR="00E44DE0" w:rsidRDefault="00000000">
      <w:pPr>
        <w:pStyle w:val="Heading3"/>
        <w:rPr>
          <w:b/>
          <w:bCs/>
        </w:rPr>
      </w:pPr>
      <w:bookmarkStart w:id="22" w:name="_Toc229320696"/>
      <w:r>
        <w:rPr>
          <w:b/>
          <w:bCs/>
        </w:rPr>
        <w:t>5.1 The Cohort Transition: The 90-Home Threshold</w:t>
      </w:r>
      <w:bookmarkEnd w:id="22"/>
    </w:p>
    <w:p w14:paraId="6C13E276" w14:textId="77777777" w:rsidR="00E44DE0" w:rsidRDefault="00000000">
      <w:pPr>
        <w:numPr>
          <w:ilvl w:val="0"/>
          <w:numId w:val="9"/>
        </w:numPr>
        <w:spacing w:line="240" w:lineRule="auto"/>
      </w:pPr>
      <w:r>
        <w:rPr>
          <w:b/>
          <w:bCs/>
        </w:rPr>
        <w:t>Input:</w:t>
      </w:r>
    </w:p>
    <w:p w14:paraId="51E3C253" w14:textId="77777777" w:rsidR="00E44DE0" w:rsidRDefault="00000000">
      <w:pPr>
        <w:numPr>
          <w:ilvl w:val="1"/>
          <w:numId w:val="9"/>
        </w:numPr>
        <w:spacing w:line="240" w:lineRule="auto"/>
      </w:pPr>
      <w:r>
        <w:t>Building metadata and active telemetry from regional clusters of individual homes.</w:t>
      </w:r>
    </w:p>
    <w:p w14:paraId="29A2D4ED" w14:textId="77777777" w:rsidR="00E44DE0" w:rsidRDefault="00000000">
      <w:pPr>
        <w:numPr>
          <w:ilvl w:val="0"/>
          <w:numId w:val="9"/>
        </w:numPr>
        <w:spacing w:line="240" w:lineRule="auto"/>
      </w:pPr>
      <w:r>
        <w:rPr>
          <w:b/>
          <w:bCs/>
        </w:rPr>
        <w:t>Process:</w:t>
      </w:r>
    </w:p>
    <w:p w14:paraId="66CF5BB7" w14:textId="77777777" w:rsidR="00E44DE0" w:rsidRDefault="00000000">
      <w:pPr>
        <w:numPr>
          <w:ilvl w:val="1"/>
          <w:numId w:val="9"/>
        </w:numPr>
        <w:spacing w:line="240" w:lineRule="auto"/>
      </w:pPr>
      <w:r>
        <w:t>Threshold Trigger: Transitioning from regional models to Hyper-Local Cohort Models once 90 active participating homes per cluster are reached.</w:t>
      </w:r>
    </w:p>
    <w:p w14:paraId="3BFE7098" w14:textId="77777777" w:rsidR="00E44DE0" w:rsidRDefault="00000000">
      <w:pPr>
        <w:numPr>
          <w:ilvl w:val="0"/>
          <w:numId w:val="9"/>
        </w:numPr>
        <w:spacing w:line="240" w:lineRule="auto"/>
      </w:pPr>
      <w:r>
        <w:rPr>
          <w:b/>
          <w:bCs/>
        </w:rPr>
        <w:t>Output:</w:t>
      </w:r>
    </w:p>
    <w:p w14:paraId="2B324D63" w14:textId="77777777" w:rsidR="00E44DE0" w:rsidRDefault="00000000">
      <w:pPr>
        <w:numPr>
          <w:ilvl w:val="1"/>
          <w:numId w:val="9"/>
        </w:numPr>
        <w:spacing w:line="240" w:lineRule="auto"/>
      </w:pPr>
      <w:r>
        <w:t>Cohort Reference Model ("M"): The specific performance benchmark for that home type and local climate.</w:t>
      </w:r>
    </w:p>
    <w:p w14:paraId="43CFA475" w14:textId="77777777" w:rsidR="00E44DE0" w:rsidRDefault="00000000">
      <w:pPr>
        <w:pStyle w:val="Heading3"/>
        <w:rPr>
          <w:b/>
          <w:bCs/>
        </w:rPr>
      </w:pPr>
      <w:bookmarkStart w:id="23" w:name="_Toc229320697"/>
      <w:r>
        <w:rPr>
          <w:b/>
          <w:bCs/>
        </w:rPr>
        <w:t>5.2 Big Digital Twin Adjudication &amp; Network Effects</w:t>
      </w:r>
      <w:bookmarkEnd w:id="23"/>
    </w:p>
    <w:p w14:paraId="0FE50003" w14:textId="77777777" w:rsidR="00E44DE0" w:rsidRDefault="00000000">
      <w:pPr>
        <w:numPr>
          <w:ilvl w:val="0"/>
          <w:numId w:val="10"/>
        </w:numPr>
        <w:spacing w:line="240" w:lineRule="auto"/>
      </w:pPr>
      <w:r>
        <w:rPr>
          <w:b/>
          <w:bCs/>
        </w:rPr>
        <w:t>Input:</w:t>
      </w:r>
    </w:p>
    <w:p w14:paraId="5F3E2EF5" w14:textId="77777777" w:rsidR="00E44DE0" w:rsidRDefault="00000000">
      <w:pPr>
        <w:numPr>
          <w:ilvl w:val="1"/>
          <w:numId w:val="10"/>
        </w:numPr>
        <w:spacing w:line="240" w:lineRule="auto"/>
      </w:pPr>
      <w:r>
        <w:t>Aggregated, anonymized source data from participating cohorts.</w:t>
      </w:r>
    </w:p>
    <w:p w14:paraId="6F9C4BDC" w14:textId="77777777" w:rsidR="00E44DE0" w:rsidRDefault="00000000">
      <w:pPr>
        <w:numPr>
          <w:ilvl w:val="0"/>
          <w:numId w:val="10"/>
        </w:numPr>
        <w:spacing w:line="240" w:lineRule="auto"/>
      </w:pPr>
      <w:r>
        <w:rPr>
          <w:b/>
          <w:bCs/>
        </w:rPr>
        <w:lastRenderedPageBreak/>
        <w:t>Process:</w:t>
      </w:r>
    </w:p>
    <w:p w14:paraId="5A173579" w14:textId="77777777" w:rsidR="00E44DE0" w:rsidRDefault="00000000">
      <w:pPr>
        <w:numPr>
          <w:ilvl w:val="1"/>
          <w:numId w:val="10"/>
        </w:numPr>
        <w:spacing w:line="240" w:lineRule="auto"/>
      </w:pPr>
      <w:r>
        <w:t>Predictive Recall: Identifying systemic defects, e.g., faulty insulation batches, across the entire inventory of cohorts.</w:t>
      </w:r>
    </w:p>
    <w:p w14:paraId="476B5B38" w14:textId="77777777" w:rsidR="00E44DE0" w:rsidRDefault="00000000">
      <w:pPr>
        <w:numPr>
          <w:ilvl w:val="1"/>
          <w:numId w:val="10"/>
        </w:numPr>
        <w:spacing w:line="240" w:lineRule="auto"/>
      </w:pPr>
      <w:r>
        <w:t>Refinement Loop: Pushing updated reference models back to individual HPMs.</w:t>
      </w:r>
    </w:p>
    <w:p w14:paraId="7C973B46" w14:textId="77777777" w:rsidR="00E44DE0" w:rsidRDefault="00000000">
      <w:pPr>
        <w:numPr>
          <w:ilvl w:val="0"/>
          <w:numId w:val="10"/>
        </w:numPr>
        <w:spacing w:line="240" w:lineRule="auto"/>
      </w:pPr>
      <w:r>
        <w:rPr>
          <w:b/>
          <w:bCs/>
        </w:rPr>
        <w:t>Output:</w:t>
      </w:r>
    </w:p>
    <w:p w14:paraId="50C9D4A7" w14:textId="77777777" w:rsidR="00E44DE0" w:rsidRDefault="00000000">
      <w:pPr>
        <w:numPr>
          <w:ilvl w:val="1"/>
          <w:numId w:val="10"/>
        </w:numPr>
        <w:spacing w:line="240" w:lineRule="auto"/>
      </w:pPr>
      <w:r>
        <w:t>Actuarial Certainty for lenders and insurers.</w:t>
      </w:r>
    </w:p>
    <w:p w14:paraId="69EFFDFB" w14:textId="77777777" w:rsidR="00E44DE0" w:rsidRDefault="00000000">
      <w:pPr>
        <w:numPr>
          <w:ilvl w:val="1"/>
          <w:numId w:val="10"/>
        </w:numPr>
        <w:spacing w:line="240" w:lineRule="auto"/>
      </w:pPr>
      <w:r>
        <w:t>The "Metcalfe Dividend": Exponentially increased reference model accuracy through applied network effects.</w:t>
      </w:r>
    </w:p>
    <w:p w14:paraId="36EF74EE" w14:textId="77777777" w:rsidR="00E44DE0" w:rsidRDefault="00000000">
      <w:pPr>
        <w:pStyle w:val="Heading2"/>
        <w:rPr>
          <w:b/>
          <w:bCs/>
          <w:sz w:val="28"/>
          <w:szCs w:val="28"/>
        </w:rPr>
      </w:pPr>
      <w:bookmarkStart w:id="24" w:name="_Toc229320698"/>
      <w:r>
        <w:rPr>
          <w:b/>
          <w:bCs/>
          <w:sz w:val="28"/>
          <w:szCs w:val="28"/>
        </w:rPr>
        <w:t>6. Ongoing Operations (The "Silent Butler")</w:t>
      </w:r>
      <w:bookmarkEnd w:id="24"/>
    </w:p>
    <w:p w14:paraId="1B6593C6" w14:textId="77777777" w:rsidR="00E44DE0" w:rsidRDefault="00000000">
      <w:r>
        <w:t>Balancing human preferences with physics and operational economics 24x7x365.</w:t>
      </w:r>
    </w:p>
    <w:p w14:paraId="22E2C715" w14:textId="77777777" w:rsidR="00E44DE0" w:rsidRDefault="00000000">
      <w:pPr>
        <w:pStyle w:val="Heading3"/>
        <w:spacing w:line="240" w:lineRule="auto"/>
        <w:rPr>
          <w:b/>
          <w:bCs/>
        </w:rPr>
      </w:pPr>
      <w:bookmarkStart w:id="25" w:name="_Toc229320699"/>
      <w:r>
        <w:rPr>
          <w:b/>
          <w:bCs/>
        </w:rPr>
        <w:t>6.1 Occupant Preference Mapping</w:t>
      </w:r>
      <w:bookmarkEnd w:id="25"/>
    </w:p>
    <w:p w14:paraId="70FC3449" w14:textId="77777777" w:rsidR="00E44DE0" w:rsidRDefault="00000000">
      <w:pPr>
        <w:numPr>
          <w:ilvl w:val="0"/>
          <w:numId w:val="11"/>
        </w:numPr>
        <w:spacing w:line="240" w:lineRule="auto"/>
      </w:pPr>
      <w:r>
        <w:rPr>
          <w:b/>
          <w:bCs/>
        </w:rPr>
        <w:t>Input:</w:t>
      </w:r>
    </w:p>
    <w:p w14:paraId="166ED58D" w14:textId="77777777" w:rsidR="00E44DE0" w:rsidRDefault="00000000">
      <w:pPr>
        <w:numPr>
          <w:ilvl w:val="1"/>
          <w:numId w:val="11"/>
        </w:numPr>
        <w:spacing w:line="240" w:lineRule="auto"/>
      </w:pPr>
      <w:r>
        <w:t>Occupant setpoints (comfort, IAQ, economics).</w:t>
      </w:r>
    </w:p>
    <w:p w14:paraId="35032D75" w14:textId="77777777" w:rsidR="00E44DE0" w:rsidRDefault="00000000">
      <w:pPr>
        <w:numPr>
          <w:ilvl w:val="0"/>
          <w:numId w:val="11"/>
        </w:numPr>
        <w:spacing w:line="240" w:lineRule="auto"/>
      </w:pPr>
      <w:r>
        <w:rPr>
          <w:b/>
          <w:bCs/>
        </w:rPr>
        <w:t>Process:</w:t>
      </w:r>
    </w:p>
    <w:p w14:paraId="55F3B3ED" w14:textId="77777777" w:rsidR="00E44DE0" w:rsidRDefault="00000000">
      <w:pPr>
        <w:numPr>
          <w:ilvl w:val="1"/>
          <w:numId w:val="11"/>
        </w:numPr>
        <w:spacing w:line="240" w:lineRule="auto"/>
      </w:pPr>
      <w:r>
        <w:t>Objective Adjudication: Real-time trade-offs using the HPM’s certainty-equivalent controller parameters (derived from the PINN in the BDT) to manage comfort vs. energy consumption. The cooling-fraction control signal (</w:t>
      </w:r>
      <w:proofErr w:type="spellStart"/>
      <w:r>
        <w:t>active_cool_pct</w:t>
      </w:r>
      <w:proofErr w:type="spellEnd"/>
      <w:r>
        <w:t>) is dimensionless and bounded to the closed interval 0 to 1; only one normalization step is applied between sensed thermal demand and the HVAC command, so downstream code must not re-scale it.</w:t>
      </w:r>
    </w:p>
    <w:p w14:paraId="014A5D73" w14:textId="77777777" w:rsidR="00E44DE0" w:rsidRDefault="00000000">
      <w:pPr>
        <w:numPr>
          <w:ilvl w:val="0"/>
          <w:numId w:val="11"/>
        </w:numPr>
        <w:spacing w:line="240" w:lineRule="auto"/>
      </w:pPr>
      <w:r>
        <w:rPr>
          <w:b/>
          <w:bCs/>
        </w:rPr>
        <w:t>Output:</w:t>
      </w:r>
    </w:p>
    <w:p w14:paraId="1CEFA9CB" w14:textId="77777777" w:rsidR="00E44DE0" w:rsidRDefault="00000000">
      <w:pPr>
        <w:numPr>
          <w:ilvl w:val="1"/>
          <w:numId w:val="11"/>
        </w:numPr>
        <w:spacing w:line="240" w:lineRule="auto"/>
      </w:pPr>
      <w:r>
        <w:t>Autonomous HVAC/ventilation control signals and GUI preference alignment.</w:t>
      </w:r>
    </w:p>
    <w:p w14:paraId="3151A03F" w14:textId="77777777" w:rsidR="00E44DE0" w:rsidRDefault="00000000">
      <w:pPr>
        <w:pStyle w:val="Heading3"/>
        <w:rPr>
          <w:b/>
          <w:bCs/>
        </w:rPr>
      </w:pPr>
      <w:bookmarkStart w:id="26" w:name="_Toc229320700"/>
      <w:r>
        <w:rPr>
          <w:b/>
          <w:bCs/>
        </w:rPr>
        <w:t>6.2 The "</w:t>
      </w:r>
      <w:proofErr w:type="spellStart"/>
      <w:r>
        <w:rPr>
          <w:b/>
          <w:bCs/>
        </w:rPr>
        <w:t>Negawatt</w:t>
      </w:r>
      <w:proofErr w:type="spellEnd"/>
      <w:r>
        <w:rPr>
          <w:b/>
          <w:bCs/>
        </w:rPr>
        <w:t>" Facility: Proactive Energy Management</w:t>
      </w:r>
      <w:bookmarkEnd w:id="26"/>
    </w:p>
    <w:p w14:paraId="237D6B84" w14:textId="77777777" w:rsidR="00E44DE0" w:rsidRDefault="00000000">
      <w:pPr>
        <w:numPr>
          <w:ilvl w:val="0"/>
          <w:numId w:val="12"/>
        </w:numPr>
        <w:spacing w:line="240" w:lineRule="auto"/>
      </w:pPr>
      <w:r>
        <w:rPr>
          <w:b/>
          <w:bCs/>
        </w:rPr>
        <w:t>Input:</w:t>
      </w:r>
    </w:p>
    <w:p w14:paraId="1D9261E3" w14:textId="77777777" w:rsidR="00E44DE0" w:rsidRDefault="00000000">
      <w:pPr>
        <w:numPr>
          <w:ilvl w:val="1"/>
          <w:numId w:val="12"/>
        </w:numPr>
        <w:spacing w:line="240" w:lineRule="auto"/>
      </w:pPr>
      <w:r>
        <w:t>Weather forecasts, utility rate plans (TOU), and PV/EV/Battery status.</w:t>
      </w:r>
    </w:p>
    <w:p w14:paraId="13C202C5" w14:textId="77777777" w:rsidR="00E44DE0" w:rsidRDefault="00000000">
      <w:pPr>
        <w:numPr>
          <w:ilvl w:val="0"/>
          <w:numId w:val="12"/>
        </w:numPr>
        <w:spacing w:line="240" w:lineRule="auto"/>
      </w:pPr>
      <w:r>
        <w:rPr>
          <w:b/>
          <w:bCs/>
        </w:rPr>
        <w:t>Process:</w:t>
      </w:r>
    </w:p>
    <w:p w14:paraId="14F0EB5D" w14:textId="77777777" w:rsidR="00E44DE0" w:rsidRDefault="00000000">
      <w:pPr>
        <w:numPr>
          <w:ilvl w:val="1"/>
          <w:numId w:val="12"/>
        </w:numPr>
        <w:spacing w:line="240" w:lineRule="auto"/>
      </w:pPr>
      <w:r>
        <w:t>Pre-emptive Optimization: Simulations for pre-cooling/heating based on the home's verified thermal decay rate.</w:t>
      </w:r>
    </w:p>
    <w:p w14:paraId="79821BEC" w14:textId="77777777" w:rsidR="00E44DE0" w:rsidRDefault="00000000">
      <w:pPr>
        <w:numPr>
          <w:ilvl w:val="0"/>
          <w:numId w:val="12"/>
        </w:numPr>
        <w:spacing w:line="240" w:lineRule="auto"/>
      </w:pPr>
      <w:r>
        <w:rPr>
          <w:b/>
          <w:bCs/>
        </w:rPr>
        <w:t>Output:</w:t>
      </w:r>
    </w:p>
    <w:p w14:paraId="0F7619B9" w14:textId="77777777" w:rsidR="00E44DE0" w:rsidRDefault="00000000">
      <w:pPr>
        <w:numPr>
          <w:ilvl w:val="1"/>
          <w:numId w:val="12"/>
        </w:numPr>
      </w:pPr>
      <w:r>
        <w:t xml:space="preserve">Verified </w:t>
      </w:r>
      <w:proofErr w:type="spellStart"/>
      <w:r>
        <w:t>Negawatt</w:t>
      </w:r>
      <w:proofErr w:type="spellEnd"/>
      <w:r>
        <w:t xml:space="preserve"> Dispatch and optimized asset charge/discharge cycles.</w:t>
      </w:r>
    </w:p>
    <w:p w14:paraId="40C575FF" w14:textId="77777777" w:rsidR="00E44DE0" w:rsidRDefault="00000000">
      <w:pPr>
        <w:pStyle w:val="Heading2"/>
        <w:rPr>
          <w:b/>
          <w:bCs/>
          <w:sz w:val="28"/>
          <w:szCs w:val="28"/>
        </w:rPr>
      </w:pPr>
      <w:bookmarkStart w:id="27" w:name="_Toc229320701"/>
      <w:r>
        <w:rPr>
          <w:b/>
          <w:bCs/>
          <w:sz w:val="28"/>
          <w:szCs w:val="28"/>
        </w:rPr>
        <w:lastRenderedPageBreak/>
        <w:t>7.  Competitive Advantages (The AIVU Moat)</w:t>
      </w:r>
      <w:bookmarkEnd w:id="27"/>
    </w:p>
    <w:p w14:paraId="724C7C6B" w14:textId="77777777" w:rsidR="00E44DE0" w:rsidRDefault="00000000">
      <w:r>
        <w:rPr>
          <w:b/>
          <w:bCs/>
        </w:rPr>
        <w:t>Objective:</w:t>
      </w:r>
      <w:r>
        <w:t xml:space="preserve"> To define the structural and technical barriers that will prevent consumer-grade gadgets or statistical AI models from displacing AIVU as the "Source of Truth" for the residential asset class .</w:t>
      </w:r>
    </w:p>
    <w:p w14:paraId="7B4E0B54" w14:textId="77777777" w:rsidR="00E44DE0" w:rsidRDefault="00000000">
      <w:pPr>
        <w:pStyle w:val="Heading3"/>
        <w:spacing w:line="240" w:lineRule="auto"/>
        <w:rPr>
          <w:b/>
          <w:bCs/>
        </w:rPr>
      </w:pPr>
      <w:bookmarkStart w:id="28" w:name="_Toc229320702"/>
      <w:r>
        <w:rPr>
          <w:b/>
          <w:bCs/>
        </w:rPr>
        <w:t>7.1 Hard-Tech vs. Consumer Gadgets (The "Toy" Gap)</w:t>
      </w:r>
      <w:bookmarkEnd w:id="28"/>
    </w:p>
    <w:p w14:paraId="7C159C75" w14:textId="77777777" w:rsidR="00E44DE0" w:rsidRDefault="00000000">
      <w:pPr>
        <w:numPr>
          <w:ilvl w:val="0"/>
          <w:numId w:val="13"/>
        </w:numPr>
        <w:spacing w:line="240" w:lineRule="auto"/>
      </w:pPr>
      <w:r>
        <w:rPr>
          <w:b/>
          <w:bCs/>
        </w:rPr>
        <w:t>The PoE Standard:</w:t>
      </w:r>
      <w:r>
        <w:t xml:space="preserve"> Unlike consumer thermostats (Nest/</w:t>
      </w:r>
      <w:proofErr w:type="spellStart"/>
      <w:r>
        <w:t>Ecobee</w:t>
      </w:r>
      <w:proofErr w:type="spellEnd"/>
      <w:r>
        <w:t xml:space="preserve">) that rely on unstable homeowner </w:t>
      </w:r>
      <w:proofErr w:type="spellStart"/>
      <w:r>
        <w:t>WiFi</w:t>
      </w:r>
      <w:proofErr w:type="spellEnd"/>
      <w:r>
        <w:t>, the AIVU HPM mandates Power-over-Ethernet (PoE) for all critical airflow and occupancy sensors. Hard-wired data integrity is a prerequisite for a Certifiable Audit Trail; without it, data is inadmissible for Segment 2 (Insurers/Legal) due to potential "missing frames" or signal interference .</w:t>
      </w:r>
    </w:p>
    <w:p w14:paraId="642039F3" w14:textId="77777777" w:rsidR="00E44DE0" w:rsidRDefault="00000000">
      <w:pPr>
        <w:numPr>
          <w:ilvl w:val="0"/>
          <w:numId w:val="13"/>
        </w:numPr>
        <w:spacing w:line="240" w:lineRule="auto"/>
      </w:pPr>
      <w:r>
        <w:rPr>
          <w:b/>
          <w:bCs/>
        </w:rPr>
        <w:t>Mass Airflow vs. Runtime:</w:t>
      </w:r>
      <w:r>
        <w:t xml:space="preserve"> Competitors track "Runtime" (on/off signals), which is a proxy for activity, not performance. AIVU’s proprietary Venturi with Static Regain measures actual Mass Airflow and Enthalpy. This allows us to prove a system is delivering quantified tons of cooling to the rooms, whereas a thermostat only knows the compressor is "trying".</w:t>
      </w:r>
    </w:p>
    <w:p w14:paraId="435C0C73" w14:textId="77777777" w:rsidR="00E44DE0" w:rsidRDefault="00000000">
      <w:pPr>
        <w:pStyle w:val="Heading3"/>
        <w:spacing w:line="240" w:lineRule="auto"/>
        <w:rPr>
          <w:b/>
          <w:bCs/>
        </w:rPr>
      </w:pPr>
      <w:bookmarkStart w:id="29" w:name="_Toc229320703"/>
      <w:r>
        <w:rPr>
          <w:b/>
          <w:bCs/>
        </w:rPr>
        <w:t>7.2 Physics-Informed AI vs. Black-Box Statistics</w:t>
      </w:r>
      <w:bookmarkEnd w:id="29"/>
    </w:p>
    <w:p w14:paraId="3D566434" w14:textId="77777777" w:rsidR="00E44DE0" w:rsidRDefault="00000000">
      <w:pPr>
        <w:numPr>
          <w:ilvl w:val="0"/>
          <w:numId w:val="14"/>
        </w:numPr>
        <w:spacing w:line="240" w:lineRule="auto"/>
      </w:pPr>
      <w:r>
        <w:rPr>
          <w:b/>
          <w:bCs/>
        </w:rPr>
        <w:t>Deterministic Initialization:</w:t>
      </w:r>
      <w:r>
        <w:t xml:space="preserve"> Statistical models (like </w:t>
      </w:r>
      <w:proofErr w:type="spellStart"/>
      <w:r>
        <w:t>BrainBox</w:t>
      </w:r>
      <w:proofErr w:type="spellEnd"/>
      <w:r>
        <w:t xml:space="preserve"> or Samsung SmartThings) require months of data to "guess" a home’s behavior through correlation. The AIVU PINN is "Born Educated". By pre-training on the 8,760-hour synthetic load profile derived from the 3D (</w:t>
      </w:r>
      <w:proofErr w:type="spellStart"/>
      <w:r>
        <w:t>gbXML</w:t>
      </w:r>
      <w:proofErr w:type="spellEnd"/>
      <w:r>
        <w:t>-based) model, we achieve actual calibration in 5 days instead of a 6-month observation.</w:t>
      </w:r>
    </w:p>
    <w:p w14:paraId="364F0338" w14:textId="77777777" w:rsidR="00E44DE0" w:rsidRDefault="00000000">
      <w:pPr>
        <w:numPr>
          <w:ilvl w:val="0"/>
          <w:numId w:val="14"/>
        </w:numPr>
        <w:spacing w:line="240" w:lineRule="auto"/>
      </w:pPr>
      <w:r>
        <w:rPr>
          <w:b/>
          <w:bCs/>
        </w:rPr>
        <w:t>Active Liability Protection vs. Service Alerts:</w:t>
      </w:r>
      <w:r>
        <w:t xml:space="preserve"> Consumer systems (Carrier </w:t>
      </w:r>
      <w:proofErr w:type="spellStart"/>
      <w:r>
        <w:t>InteliSense</w:t>
      </w:r>
      <w:proofErr w:type="spellEnd"/>
      <w:r>
        <w:t>) generate service leads for contractors ("Break/Fix"). AIVU provides Active Liability Protection by verifying Manual J/S/D compliance on Day 1. We don't wait for a failure; we prove the absence of a defect to release Warranty Reserves .</w:t>
      </w:r>
    </w:p>
    <w:p w14:paraId="103B5D81" w14:textId="77777777" w:rsidR="00E44DE0" w:rsidRDefault="00000000">
      <w:pPr>
        <w:pStyle w:val="Heading3"/>
        <w:spacing w:line="240" w:lineRule="auto"/>
        <w:rPr>
          <w:b/>
          <w:bCs/>
        </w:rPr>
      </w:pPr>
      <w:bookmarkStart w:id="30" w:name="_Toc229320704"/>
      <w:r>
        <w:rPr>
          <w:b/>
          <w:bCs/>
        </w:rPr>
        <w:t>7.3 Regulatory Bypass &amp; The "Administrative State"</w:t>
      </w:r>
      <w:bookmarkEnd w:id="30"/>
    </w:p>
    <w:p w14:paraId="507ECF64" w14:textId="77777777" w:rsidR="00E44DE0" w:rsidRDefault="00000000">
      <w:pPr>
        <w:numPr>
          <w:ilvl w:val="0"/>
          <w:numId w:val="15"/>
        </w:numPr>
        <w:spacing w:line="240" w:lineRule="auto"/>
      </w:pPr>
      <w:r>
        <w:rPr>
          <w:b/>
          <w:bCs/>
        </w:rPr>
        <w:t>Rightsizing Dividend:</w:t>
      </w:r>
      <w:r>
        <w:t xml:space="preserve"> Builders currently engage in "Defensive Oversizing" to avoid lawsuits based on unverified envelope properties. AIVU uses verified peak thermal loads to safely facilitate downsized HVAC equipment (which we continuously commission), whereas HERS raters only take a one-time "snapshot". This creates an immediate </w:t>
      </w:r>
      <w:proofErr w:type="spellStart"/>
      <w:r>
        <w:t>CapEx</w:t>
      </w:r>
      <w:proofErr w:type="spellEnd"/>
      <w:r>
        <w:t xml:space="preserve"> Dividend that pays for the AIVU system.</w:t>
      </w:r>
    </w:p>
    <w:p w14:paraId="2BE70BA4" w14:textId="77777777" w:rsidR="00E44DE0" w:rsidRDefault="00000000">
      <w:pPr>
        <w:numPr>
          <w:ilvl w:val="0"/>
          <w:numId w:val="15"/>
        </w:numPr>
        <w:spacing w:line="240" w:lineRule="auto"/>
      </w:pPr>
      <w:r>
        <w:rPr>
          <w:b/>
          <w:bCs/>
        </w:rPr>
        <w:t>Automated Compliance:</w:t>
      </w:r>
      <w:r>
        <w:t xml:space="preserve"> AIVU bypasses the "lowest common denominator" of manual inspections by providing cryptographically signed, automated compliance reports to agencies like the California Energy Commission (CEC) .</w:t>
      </w:r>
    </w:p>
    <w:p w14:paraId="59B66406" w14:textId="77777777" w:rsidR="00E44DE0" w:rsidRDefault="00000000">
      <w:pPr>
        <w:pStyle w:val="Heading3"/>
        <w:spacing w:line="240" w:lineRule="auto"/>
        <w:rPr>
          <w:b/>
          <w:bCs/>
        </w:rPr>
      </w:pPr>
      <w:bookmarkStart w:id="31" w:name="_Toc229320705"/>
      <w:r>
        <w:rPr>
          <w:b/>
          <w:bCs/>
        </w:rPr>
        <w:t>7.4 The "American Pragmatist" Scale</w:t>
      </w:r>
      <w:bookmarkEnd w:id="31"/>
    </w:p>
    <w:p w14:paraId="45282507" w14:textId="77777777" w:rsidR="00E44DE0" w:rsidRDefault="00000000">
      <w:pPr>
        <w:numPr>
          <w:ilvl w:val="0"/>
          <w:numId w:val="16"/>
        </w:numPr>
        <w:spacing w:line="240" w:lineRule="auto"/>
      </w:pPr>
      <w:r>
        <w:rPr>
          <w:b/>
          <w:bCs/>
        </w:rPr>
        <w:t>Rejecting Complexity:</w:t>
      </w:r>
      <w:r>
        <w:t xml:space="preserve"> We side-step "German Perfectionist" wiring complexity in favor of the Eaton Smart Circuit Breaker 1Hz API. This allows for a 15-minute installation that an ordinary electrician can perform, ensuring our "Natural Monopoly" can scale to 500-home subdivisions without specialized labor .</w:t>
      </w:r>
    </w:p>
    <w:p w14:paraId="30215822" w14:textId="77777777" w:rsidR="00E44DE0" w:rsidRDefault="00E44DE0"/>
    <w:p w14:paraId="0A3EDAFC" w14:textId="77777777" w:rsidR="00E44DE0" w:rsidRDefault="00000000">
      <w:pPr>
        <w:pStyle w:val="Heading1"/>
        <w:rPr>
          <w:b/>
          <w:bCs/>
        </w:rPr>
      </w:pPr>
      <w:bookmarkStart w:id="32" w:name="_Toc229320706"/>
      <w:r>
        <w:rPr>
          <w:b/>
          <w:bCs/>
          <w:sz w:val="32"/>
          <w:szCs w:val="32"/>
        </w:rPr>
        <w:lastRenderedPageBreak/>
        <w:t>The Big Digital Twin</w:t>
      </w:r>
      <w:bookmarkEnd w:id="32"/>
      <w:r>
        <w:rPr>
          <w:b/>
          <w:bCs/>
          <w:sz w:val="32"/>
          <w:szCs w:val="32"/>
        </w:rPr>
        <w:t xml:space="preserve"> </w:t>
      </w:r>
    </w:p>
    <w:p w14:paraId="2863A5BA" w14:textId="77777777" w:rsidR="00E44DE0" w:rsidRDefault="00000000">
      <w:r>
        <w:rPr>
          <w:i/>
          <w:iCs/>
        </w:rPr>
        <w:t>Theme: The Institutional Economist – Cloud Orchestration &amp; Actuarial Truth</w:t>
      </w:r>
      <w:r>
        <w:t xml:space="preserve"> </w:t>
      </w:r>
    </w:p>
    <w:p w14:paraId="11D9A28C" w14:textId="77777777" w:rsidR="00E44DE0" w:rsidRDefault="00000000">
      <w:pPr>
        <w:pStyle w:val="Heading2"/>
        <w:rPr>
          <w:b/>
          <w:bCs/>
          <w:sz w:val="28"/>
          <w:szCs w:val="28"/>
        </w:rPr>
      </w:pPr>
      <w:bookmarkStart w:id="33" w:name="_Toc229320707"/>
      <w:r>
        <w:rPr>
          <w:b/>
          <w:bCs/>
          <w:sz w:val="28"/>
          <w:szCs w:val="28"/>
        </w:rPr>
        <w:t>1. The Phase 0 Initialization Engine</w:t>
      </w:r>
      <w:bookmarkEnd w:id="33"/>
    </w:p>
    <w:p w14:paraId="653D7D65" w14:textId="77777777" w:rsidR="00E44DE0" w:rsidRDefault="00000000">
      <w:r>
        <w:t>This module supervises cohorts and codifies the automated transformation of architectural intent into deterministic, "Born Educated" firmware.</w:t>
      </w:r>
    </w:p>
    <w:p w14:paraId="03006FCD" w14:textId="77777777" w:rsidR="00E44DE0" w:rsidRDefault="00000000">
      <w:pPr>
        <w:pStyle w:val="Heading3"/>
        <w:spacing w:line="240" w:lineRule="auto"/>
        <w:rPr>
          <w:b/>
          <w:bCs/>
        </w:rPr>
      </w:pPr>
      <w:bookmarkStart w:id="34" w:name="_Toc229320708"/>
      <w:r>
        <w:rPr>
          <w:b/>
          <w:bCs/>
        </w:rPr>
        <w:t>1.1 Multimodal Ingestion &amp; Engineering Data Synthesis</w:t>
      </w:r>
      <w:bookmarkEnd w:id="34"/>
    </w:p>
    <w:p w14:paraId="42CDB25C" w14:textId="77777777" w:rsidR="00E44DE0" w:rsidRDefault="00000000">
      <w:pPr>
        <w:spacing w:line="240" w:lineRule="auto"/>
      </w:pPr>
      <w:r>
        <w:t>The system ingests two distinct data streams to create a complete thermodynamic and mechanical baseline.</w:t>
      </w:r>
    </w:p>
    <w:p w14:paraId="684057AD" w14:textId="77777777" w:rsidR="00E44DE0" w:rsidRDefault="00000000">
      <w:pPr>
        <w:spacing w:line="240" w:lineRule="auto"/>
      </w:pPr>
      <w:r>
        <w:rPr>
          <w:b/>
          <w:bCs/>
        </w:rPr>
        <w:t>A. Building Performance Input (The Thermal Shell)</w:t>
      </w:r>
    </w:p>
    <w:p w14:paraId="07707A0B" w14:textId="77777777" w:rsidR="00E44DE0" w:rsidRDefault="00000000">
      <w:pPr>
        <w:numPr>
          <w:ilvl w:val="0"/>
          <w:numId w:val="23"/>
        </w:numPr>
        <w:spacing w:line="240" w:lineRule="auto"/>
      </w:pPr>
      <w:r>
        <w:rPr>
          <w:b/>
          <w:bCs/>
        </w:rPr>
        <w:t>Input</w:t>
      </w:r>
      <w:r>
        <w:t>: 2D architectural PDF sets provided by the builder.</w:t>
      </w:r>
    </w:p>
    <w:p w14:paraId="0106A495" w14:textId="77777777" w:rsidR="00E44DE0" w:rsidRDefault="00000000">
      <w:pPr>
        <w:numPr>
          <w:ilvl w:val="0"/>
          <w:numId w:val="23"/>
        </w:numPr>
        <w:spacing w:line="240" w:lineRule="auto"/>
      </w:pPr>
      <w:r>
        <w:rPr>
          <w:b/>
          <w:bCs/>
        </w:rPr>
        <w:t>Process</w:t>
      </w:r>
      <w:r>
        <w:t>:</w:t>
      </w:r>
    </w:p>
    <w:p w14:paraId="76E49E86" w14:textId="77777777" w:rsidR="00E44DE0" w:rsidRDefault="00000000">
      <w:pPr>
        <w:numPr>
          <w:ilvl w:val="1"/>
          <w:numId w:val="23"/>
        </w:numPr>
        <w:spacing w:line="240" w:lineRule="auto"/>
      </w:pPr>
      <w:r>
        <w:rPr>
          <w:b/>
          <w:bCs/>
        </w:rPr>
        <w:t>Computer Vision Extraction</w:t>
      </w:r>
      <w:r>
        <w:t>: Utilizing Gemini Vision and Document AI to extract room boundaries, orientations, and thermal properties from 2D PDFs.</w:t>
      </w:r>
    </w:p>
    <w:p w14:paraId="3BA275F0" w14:textId="77777777" w:rsidR="00E44DE0" w:rsidRDefault="00000000">
      <w:pPr>
        <w:numPr>
          <w:ilvl w:val="1"/>
          <w:numId w:val="23"/>
        </w:numPr>
        <w:spacing w:line="240" w:lineRule="auto"/>
      </w:pPr>
      <w:r>
        <w:rPr>
          <w:b/>
          <w:bCs/>
        </w:rPr>
        <w:t>3D Spatial Transformation</w:t>
      </w:r>
      <w:r>
        <w:t xml:space="preserve">: Converting raw 2D extractions into a structured </w:t>
      </w:r>
      <w:r>
        <w:rPr>
          <w:b/>
          <w:bCs/>
        </w:rPr>
        <w:t xml:space="preserve">3D </w:t>
      </w:r>
      <w:proofErr w:type="spellStart"/>
      <w:r>
        <w:rPr>
          <w:b/>
          <w:bCs/>
        </w:rPr>
        <w:t>gbXML</w:t>
      </w:r>
      <w:proofErr w:type="spellEnd"/>
      <w:r>
        <w:rPr>
          <w:b/>
          <w:bCs/>
        </w:rPr>
        <w:t xml:space="preserve"> model</w:t>
      </w:r>
      <w:r>
        <w:t xml:space="preserve"> to define thermal zones and geometry.</w:t>
      </w:r>
    </w:p>
    <w:p w14:paraId="629355C5" w14:textId="77777777" w:rsidR="00E44DE0" w:rsidRDefault="00000000">
      <w:pPr>
        <w:numPr>
          <w:ilvl w:val="1"/>
          <w:numId w:val="23"/>
        </w:numPr>
        <w:spacing w:line="240" w:lineRule="auto"/>
      </w:pPr>
      <w:r>
        <w:rPr>
          <w:b/>
          <w:bCs/>
        </w:rPr>
        <w:t>Variable Mapping</w:t>
      </w:r>
      <w:r>
        <w:t xml:space="preserve">: Associating extracted data (window U-values, insulation R-values) with specific surfaces in the 3D model to establish the </w:t>
      </w:r>
      <w:r>
        <w:rPr>
          <w:b/>
          <w:bCs/>
        </w:rPr>
        <w:t>"Digital DNA"</w:t>
      </w:r>
      <w:r>
        <w:t xml:space="preserve">. For each home, the </w:t>
      </w:r>
      <w:proofErr w:type="spellStart"/>
      <w:r>
        <w:t>gbXML</w:t>
      </w:r>
      <w:proofErr w:type="spellEnd"/>
      <w:r>
        <w:t xml:space="preserve"> extraction pins the attic variant (e.g., </w:t>
      </w:r>
      <w:proofErr w:type="spellStart"/>
      <w:r>
        <w:t>ConditionedFoam</w:t>
      </w:r>
      <w:proofErr w:type="spellEnd"/>
      <w:r>
        <w:t xml:space="preserve"> for an R-22 spray-foam roof deck, conditioned by default) to a binding default propagated to aivu_physics/envelope/attic_variants.py and to the HPM Reference Model.</w:t>
      </w:r>
    </w:p>
    <w:p w14:paraId="494E61C0" w14:textId="77777777" w:rsidR="00E44DE0" w:rsidRDefault="00000000">
      <w:pPr>
        <w:numPr>
          <w:ilvl w:val="0"/>
          <w:numId w:val="23"/>
        </w:numPr>
        <w:spacing w:line="240" w:lineRule="auto"/>
      </w:pPr>
      <w:r>
        <w:rPr>
          <w:b/>
          <w:bCs/>
        </w:rPr>
        <w:t>Target Engine</w:t>
      </w:r>
      <w:r>
        <w:t xml:space="preserve">: The Big Digital Twin utilizes an </w:t>
      </w:r>
      <w:proofErr w:type="spellStart"/>
      <w:r>
        <w:rPr>
          <w:b/>
          <w:bCs/>
        </w:rPr>
        <w:t>EnergyPlus</w:t>
      </w:r>
      <w:proofErr w:type="spellEnd"/>
      <w:r>
        <w:t xml:space="preserve"> engine (leveraging its DOE-2 heritage) to simulate total building performance and envelope behavior.</w:t>
      </w:r>
    </w:p>
    <w:p w14:paraId="5F08CDE7" w14:textId="77777777" w:rsidR="00E44DE0" w:rsidRDefault="00000000">
      <w:pPr>
        <w:spacing w:line="240" w:lineRule="auto"/>
      </w:pPr>
      <w:r>
        <w:rPr>
          <w:b/>
          <w:bCs/>
        </w:rPr>
        <w:t>B. HVAC Engineering Specification (The Mechanical Logic)</w:t>
      </w:r>
    </w:p>
    <w:p w14:paraId="6FCFF7DF" w14:textId="77777777" w:rsidR="00E44DE0" w:rsidRDefault="00000000">
      <w:pPr>
        <w:numPr>
          <w:ilvl w:val="0"/>
          <w:numId w:val="24"/>
        </w:numPr>
        <w:spacing w:line="240" w:lineRule="auto"/>
      </w:pPr>
      <w:r>
        <w:rPr>
          <w:b/>
          <w:bCs/>
        </w:rPr>
        <w:t>Input</w:t>
      </w:r>
      <w:r>
        <w:t xml:space="preserve">: Ingestion of the full </w:t>
      </w:r>
      <w:r>
        <w:rPr>
          <w:b/>
          <w:bCs/>
        </w:rPr>
        <w:t>ACCA Manual Suite</w:t>
      </w:r>
      <w:r>
        <w:t>: Manual J (Load), Manual S (Equipment), Manual D (Ducts), Manual P (</w:t>
      </w:r>
      <w:proofErr w:type="spellStart"/>
      <w:r>
        <w:t>Psychrometrics</w:t>
      </w:r>
      <w:proofErr w:type="spellEnd"/>
      <w:r>
        <w:t>), and Manual RS (Residential Systems).</w:t>
      </w:r>
    </w:p>
    <w:p w14:paraId="186527DD" w14:textId="77777777" w:rsidR="00E44DE0" w:rsidRDefault="00000000">
      <w:pPr>
        <w:numPr>
          <w:ilvl w:val="0"/>
          <w:numId w:val="24"/>
        </w:numPr>
        <w:spacing w:line="240" w:lineRule="auto"/>
      </w:pPr>
      <w:r>
        <w:rPr>
          <w:b/>
          <w:bCs/>
        </w:rPr>
        <w:t>Process</w:t>
      </w:r>
      <w:r>
        <w:t>:</w:t>
      </w:r>
    </w:p>
    <w:p w14:paraId="7BB71AE1" w14:textId="77777777" w:rsidR="00E44DE0" w:rsidRDefault="00000000">
      <w:pPr>
        <w:numPr>
          <w:ilvl w:val="1"/>
          <w:numId w:val="24"/>
        </w:numPr>
        <w:spacing w:line="240" w:lineRule="auto"/>
      </w:pPr>
      <w:r>
        <w:t>Extracting mechanical design intent to compare against the simulated Building Performance targets.</w:t>
      </w:r>
    </w:p>
    <w:p w14:paraId="3A8F2286" w14:textId="77777777" w:rsidR="00E44DE0" w:rsidRDefault="00000000">
      <w:pPr>
        <w:numPr>
          <w:ilvl w:val="1"/>
          <w:numId w:val="24"/>
        </w:numPr>
        <w:spacing w:line="240" w:lineRule="auto"/>
      </w:pPr>
      <w:r>
        <w:t>Defining the mechanical "Active Physics" boundaries independent of the passive thermal shell.</w:t>
      </w:r>
    </w:p>
    <w:p w14:paraId="202C4107" w14:textId="77777777" w:rsidR="00E44DE0" w:rsidRDefault="00000000">
      <w:pPr>
        <w:numPr>
          <w:ilvl w:val="0"/>
          <w:numId w:val="24"/>
        </w:numPr>
        <w:spacing w:line="240" w:lineRule="auto"/>
      </w:pPr>
      <w:r>
        <w:rPr>
          <w:b/>
          <w:bCs/>
        </w:rPr>
        <w:t>Output</w:t>
      </w:r>
      <w:r>
        <w:t xml:space="preserve">: Target physics parameters for the building envelope, including </w:t>
      </w:r>
      <w:r>
        <w:rPr>
          <w:b/>
          <w:bCs/>
        </w:rPr>
        <w:t>Target UA</w:t>
      </w:r>
      <w:r>
        <w:t xml:space="preserve"> (heat loss rate) and </w:t>
      </w:r>
      <w:r>
        <w:rPr>
          <w:b/>
          <w:bCs/>
        </w:rPr>
        <w:t>Target CFM</w:t>
      </w:r>
      <w:r>
        <w:t xml:space="preserve"> (airflow).</w:t>
      </w:r>
    </w:p>
    <w:p w14:paraId="5CC774EB" w14:textId="77777777" w:rsidR="00E44DE0" w:rsidRDefault="00000000">
      <w:pPr>
        <w:pStyle w:val="Heading3"/>
        <w:rPr>
          <w:b/>
          <w:bCs/>
        </w:rPr>
      </w:pPr>
      <w:bookmarkStart w:id="35" w:name="_Toc229320709"/>
      <w:r>
        <w:rPr>
          <w:b/>
          <w:bCs/>
        </w:rPr>
        <w:lastRenderedPageBreak/>
        <w:t>1.2 Deterministic Synthetic Training &amp; Firmware Deployment</w:t>
      </w:r>
      <w:bookmarkEnd w:id="35"/>
    </w:p>
    <w:p w14:paraId="6ADD513B" w14:textId="77777777" w:rsidR="00E44DE0" w:rsidRDefault="00000000">
      <w:pPr>
        <w:numPr>
          <w:ilvl w:val="0"/>
          <w:numId w:val="25"/>
        </w:numPr>
        <w:spacing w:line="240" w:lineRule="auto"/>
      </w:pPr>
      <w:r>
        <w:rPr>
          <w:b/>
          <w:bCs/>
        </w:rPr>
        <w:t>Input</w:t>
      </w:r>
      <w:r>
        <w:t xml:space="preserve">: The 3D </w:t>
      </w:r>
      <w:proofErr w:type="spellStart"/>
      <w:r>
        <w:t>gbXML</w:t>
      </w:r>
      <w:proofErr w:type="spellEnd"/>
      <w:r>
        <w:t xml:space="preserve"> model and structured profile from Module 1.1.</w:t>
      </w:r>
    </w:p>
    <w:p w14:paraId="478239EC" w14:textId="77777777" w:rsidR="00E44DE0" w:rsidRDefault="00000000">
      <w:pPr>
        <w:numPr>
          <w:ilvl w:val="0"/>
          <w:numId w:val="25"/>
        </w:numPr>
        <w:spacing w:line="240" w:lineRule="auto"/>
      </w:pPr>
      <w:r>
        <w:rPr>
          <w:b/>
          <w:bCs/>
        </w:rPr>
        <w:t>Input</w:t>
      </w:r>
      <w:r>
        <w:t xml:space="preserve">: </w:t>
      </w:r>
      <w:r>
        <w:rPr>
          <w:b/>
          <w:bCs/>
        </w:rPr>
        <w:t>TMY3</w:t>
      </w:r>
      <w:r>
        <w:t xml:space="preserve"> (Typical Meteorological Year) local weather files for the specific site.</w:t>
      </w:r>
    </w:p>
    <w:p w14:paraId="69F4E561" w14:textId="77777777" w:rsidR="00E44DE0" w:rsidRDefault="00000000">
      <w:pPr>
        <w:numPr>
          <w:ilvl w:val="0"/>
          <w:numId w:val="25"/>
        </w:numPr>
        <w:spacing w:line="240" w:lineRule="auto"/>
      </w:pPr>
      <w:r>
        <w:rPr>
          <w:b/>
          <w:bCs/>
        </w:rPr>
        <w:t>Process</w:t>
      </w:r>
      <w:r>
        <w:t>:</w:t>
      </w:r>
    </w:p>
    <w:p w14:paraId="7310A17D" w14:textId="77777777" w:rsidR="00E44DE0" w:rsidRDefault="00000000">
      <w:pPr>
        <w:numPr>
          <w:ilvl w:val="1"/>
          <w:numId w:val="25"/>
        </w:numPr>
        <w:spacing w:line="240" w:lineRule="auto"/>
      </w:pPr>
      <w:r>
        <w:rPr>
          <w:b/>
          <w:bCs/>
        </w:rPr>
        <w:t>Containerized Simulation</w:t>
      </w:r>
      <w:r>
        <w:t xml:space="preserve">: The Big Digital Twin executes an </w:t>
      </w:r>
      <w:proofErr w:type="spellStart"/>
      <w:r>
        <w:rPr>
          <w:b/>
          <w:bCs/>
        </w:rPr>
        <w:t>EnergyPlus</w:t>
      </w:r>
      <w:proofErr w:type="spellEnd"/>
      <w:r>
        <w:t xml:space="preserve"> simulation engine in a cloud-native container.</w:t>
      </w:r>
    </w:p>
    <w:p w14:paraId="60101DC9" w14:textId="77777777" w:rsidR="00E44DE0" w:rsidRDefault="00000000">
      <w:pPr>
        <w:numPr>
          <w:ilvl w:val="1"/>
          <w:numId w:val="25"/>
        </w:numPr>
        <w:spacing w:line="240" w:lineRule="auto"/>
      </w:pPr>
      <w:r>
        <w:rPr>
          <w:b/>
          <w:bCs/>
        </w:rPr>
        <w:t>Full-Cycle Processing</w:t>
      </w:r>
      <w:r>
        <w:t xml:space="preserve">: The engine runs a full </w:t>
      </w:r>
      <w:r>
        <w:rPr>
          <w:b/>
          <w:bCs/>
        </w:rPr>
        <w:t>8,760-hour synthetic (four season) load profile</w:t>
      </w:r>
      <w:r>
        <w:t xml:space="preserve"> against the 3D model and virtual weather.</w:t>
      </w:r>
    </w:p>
    <w:p w14:paraId="65539F14" w14:textId="77777777" w:rsidR="00E44DE0" w:rsidRDefault="00000000">
      <w:pPr>
        <w:numPr>
          <w:ilvl w:val="1"/>
          <w:numId w:val="25"/>
        </w:numPr>
        <w:spacing w:line="240" w:lineRule="auto"/>
      </w:pPr>
      <w:r>
        <w:rPr>
          <w:b/>
          <w:bCs/>
        </w:rPr>
        <w:t>Over-the-Air (OTA) Push</w:t>
      </w:r>
      <w:r>
        <w:t>: The initialized PINN weights are stored in the BDT. The BDT distills certainty-equivalent controller parameters from the PINN and delivers them, signed by the Clearinghouse, to the HPM hardware along with design baselines.</w:t>
      </w:r>
    </w:p>
    <w:p w14:paraId="540AB428" w14:textId="77777777" w:rsidR="00E44DE0" w:rsidRDefault="00000000">
      <w:pPr>
        <w:numPr>
          <w:ilvl w:val="0"/>
          <w:numId w:val="25"/>
        </w:numPr>
        <w:spacing w:line="240" w:lineRule="auto"/>
      </w:pPr>
      <w:r>
        <w:rPr>
          <w:b/>
          <w:bCs/>
        </w:rPr>
        <w:t>Output</w:t>
      </w:r>
      <w:r>
        <w:t>: Initialized PINN weights in the BDT reflecting the specific home’s predicted thermal behavior.</w:t>
      </w:r>
    </w:p>
    <w:p w14:paraId="39AE3FF8" w14:textId="77777777" w:rsidR="00E44DE0" w:rsidRDefault="00000000">
      <w:pPr>
        <w:numPr>
          <w:ilvl w:val="0"/>
          <w:numId w:val="25"/>
        </w:numPr>
        <w:spacing w:line="240" w:lineRule="auto"/>
      </w:pPr>
      <w:r>
        <w:rPr>
          <w:b/>
          <w:bCs/>
        </w:rPr>
        <w:t>Output</w:t>
      </w:r>
      <w:r>
        <w:t xml:space="preserve">: A </w:t>
      </w:r>
      <w:r>
        <w:rPr>
          <w:b/>
          <w:bCs/>
        </w:rPr>
        <w:t>"Born Educated"</w:t>
      </w:r>
      <w:r>
        <w:t xml:space="preserve"> HPM unit that arrives on-site pre-loaded with certainty-equivalent controller parameters derived from the BDT’s initialized PINN, giving it a built-in baseline expectation of performance.</w:t>
      </w:r>
    </w:p>
    <w:p w14:paraId="6CD8D3F9" w14:textId="77777777" w:rsidR="00E44DE0" w:rsidRDefault="00E44DE0">
      <w:pPr>
        <w:rPr>
          <w:b/>
          <w:bCs/>
          <w:sz w:val="28"/>
          <w:szCs w:val="28"/>
        </w:rPr>
      </w:pPr>
    </w:p>
    <w:p w14:paraId="5548F137" w14:textId="77777777" w:rsidR="00E44DE0" w:rsidRDefault="00000000">
      <w:pPr>
        <w:pStyle w:val="Heading2"/>
        <w:rPr>
          <w:b/>
          <w:bCs/>
          <w:sz w:val="28"/>
          <w:szCs w:val="28"/>
        </w:rPr>
      </w:pPr>
      <w:bookmarkStart w:id="36" w:name="_Toc229320710"/>
      <w:r>
        <w:rPr>
          <w:b/>
          <w:bCs/>
          <w:sz w:val="28"/>
          <w:szCs w:val="28"/>
        </w:rPr>
        <w:t>2. The Multi-Dimensional Taxonomy (The Orthogonal Matrix)</w:t>
      </w:r>
      <w:bookmarkEnd w:id="36"/>
    </w:p>
    <w:p w14:paraId="6A5AAB43" w14:textId="77777777" w:rsidR="00E44DE0" w:rsidRDefault="00000000">
      <w:r>
        <w:t>This module establishes the structural framework for sorting housing stock into mutually exclusive (orthogonal) categories to enable high-fidelity analysis.</w:t>
      </w:r>
    </w:p>
    <w:tbl>
      <w:tblPr>
        <w:tblW w:w="9920" w:type="dxa"/>
        <w:tblLayout w:type="fixed"/>
        <w:tblCellMar>
          <w:top w:w="120" w:type="dxa"/>
          <w:left w:w="180" w:type="dxa"/>
          <w:bottom w:w="120" w:type="dxa"/>
          <w:right w:w="180" w:type="dxa"/>
        </w:tblCellMar>
        <w:tblLook w:val="04A0" w:firstRow="1" w:lastRow="0" w:firstColumn="1" w:lastColumn="0" w:noHBand="0" w:noVBand="1"/>
      </w:tblPr>
      <w:tblGrid>
        <w:gridCol w:w="2243"/>
        <w:gridCol w:w="5323"/>
        <w:gridCol w:w="2354"/>
      </w:tblGrid>
      <w:tr w:rsidR="00E44DE0" w14:paraId="59EDB5E0" w14:textId="77777777">
        <w:trPr>
          <w:tblHeader/>
        </w:trPr>
        <w:tc>
          <w:tcPr>
            <w:tcW w:w="2243" w:type="dxa"/>
            <w:tcBorders>
              <w:top w:val="single" w:sz="6" w:space="0" w:color="000000"/>
              <w:left w:val="single" w:sz="6" w:space="0" w:color="000000"/>
              <w:bottom w:val="single" w:sz="6" w:space="0" w:color="000000"/>
              <w:right w:val="single" w:sz="6" w:space="0" w:color="000000"/>
            </w:tcBorders>
            <w:vAlign w:val="center"/>
          </w:tcPr>
          <w:p w14:paraId="336912D7" w14:textId="77777777" w:rsidR="00E44DE0" w:rsidRDefault="00000000">
            <w:r>
              <w:rPr>
                <w:b/>
                <w:bCs/>
              </w:rPr>
              <w:t>Category</w:t>
            </w:r>
          </w:p>
        </w:tc>
        <w:tc>
          <w:tcPr>
            <w:tcW w:w="5323" w:type="dxa"/>
            <w:tcBorders>
              <w:top w:val="single" w:sz="6" w:space="0" w:color="000000"/>
              <w:left w:val="single" w:sz="6" w:space="0" w:color="000000"/>
              <w:bottom w:val="single" w:sz="6" w:space="0" w:color="000000"/>
              <w:right w:val="single" w:sz="6" w:space="0" w:color="000000"/>
            </w:tcBorders>
            <w:vAlign w:val="center"/>
          </w:tcPr>
          <w:p w14:paraId="6104925A" w14:textId="77777777" w:rsidR="00E44DE0" w:rsidRDefault="00000000">
            <w:r>
              <w:rPr>
                <w:b/>
                <w:bCs/>
              </w:rPr>
              <w:t>Variables / Inputs</w:t>
            </w:r>
          </w:p>
        </w:tc>
        <w:tc>
          <w:tcPr>
            <w:tcW w:w="2354" w:type="dxa"/>
            <w:tcBorders>
              <w:top w:val="single" w:sz="6" w:space="0" w:color="000000"/>
              <w:left w:val="single" w:sz="6" w:space="0" w:color="000000"/>
              <w:bottom w:val="single" w:sz="6" w:space="0" w:color="000000"/>
              <w:right w:val="single" w:sz="6" w:space="0" w:color="000000"/>
            </w:tcBorders>
            <w:vAlign w:val="center"/>
          </w:tcPr>
          <w:p w14:paraId="076F7525" w14:textId="77777777" w:rsidR="00E44DE0" w:rsidRDefault="00000000">
            <w:r>
              <w:rPr>
                <w:b/>
                <w:bCs/>
              </w:rPr>
              <w:t>Standard / Source</w:t>
            </w:r>
          </w:p>
        </w:tc>
      </w:tr>
      <w:tr w:rsidR="00E44DE0" w14:paraId="3654CF1C" w14:textId="77777777">
        <w:tc>
          <w:tcPr>
            <w:tcW w:w="2243" w:type="dxa"/>
            <w:tcBorders>
              <w:top w:val="single" w:sz="6" w:space="0" w:color="000000"/>
              <w:left w:val="single" w:sz="6" w:space="0" w:color="000000"/>
              <w:bottom w:val="single" w:sz="6" w:space="0" w:color="000000"/>
              <w:right w:val="single" w:sz="6" w:space="0" w:color="000000"/>
            </w:tcBorders>
            <w:vAlign w:val="center"/>
          </w:tcPr>
          <w:p w14:paraId="0F673D60" w14:textId="77777777" w:rsidR="00E44DE0" w:rsidRDefault="00000000">
            <w:pPr>
              <w:pStyle w:val="Heading3"/>
              <w:spacing w:before="0" w:after="160"/>
            </w:pPr>
            <w:bookmarkStart w:id="37" w:name="_Toc229320711"/>
            <w:r>
              <w:rPr>
                <w:b/>
                <w:bCs/>
              </w:rPr>
              <w:lastRenderedPageBreak/>
              <w:t>2.1 Climate</w:t>
            </w:r>
            <w:bookmarkEnd w:id="37"/>
          </w:p>
        </w:tc>
        <w:tc>
          <w:tcPr>
            <w:tcW w:w="5323" w:type="dxa"/>
            <w:tcBorders>
              <w:top w:val="single" w:sz="6" w:space="0" w:color="000000"/>
              <w:left w:val="single" w:sz="6" w:space="0" w:color="000000"/>
              <w:bottom w:val="single" w:sz="6" w:space="0" w:color="000000"/>
              <w:right w:val="single" w:sz="6" w:space="0" w:color="000000"/>
            </w:tcBorders>
            <w:vAlign w:val="center"/>
          </w:tcPr>
          <w:p w14:paraId="06AA4E0A" w14:textId="77777777" w:rsidR="00E44DE0" w:rsidRDefault="00000000">
            <w:r>
              <w:t>Thermal Zones (0-8), Moisture Sub-zones (A/B/C), Lat/Long.</w:t>
            </w:r>
          </w:p>
        </w:tc>
        <w:tc>
          <w:tcPr>
            <w:tcW w:w="2354" w:type="dxa"/>
            <w:tcBorders>
              <w:top w:val="single" w:sz="6" w:space="0" w:color="000000"/>
              <w:left w:val="single" w:sz="6" w:space="0" w:color="000000"/>
              <w:bottom w:val="single" w:sz="6" w:space="0" w:color="000000"/>
              <w:right w:val="single" w:sz="6" w:space="0" w:color="000000"/>
            </w:tcBorders>
            <w:vAlign w:val="center"/>
          </w:tcPr>
          <w:p w14:paraId="4E809805" w14:textId="77777777" w:rsidR="00E44DE0" w:rsidRDefault="00000000">
            <w:r>
              <w:t xml:space="preserve">ASHRAE 169-2021 </w:t>
            </w:r>
          </w:p>
        </w:tc>
      </w:tr>
      <w:tr w:rsidR="00E44DE0" w14:paraId="0394562F" w14:textId="77777777">
        <w:tc>
          <w:tcPr>
            <w:tcW w:w="2243" w:type="dxa"/>
            <w:tcBorders>
              <w:top w:val="single" w:sz="6" w:space="0" w:color="000000"/>
              <w:left w:val="single" w:sz="6" w:space="0" w:color="000000"/>
              <w:bottom w:val="single" w:sz="6" w:space="0" w:color="000000"/>
              <w:right w:val="single" w:sz="6" w:space="0" w:color="000000"/>
            </w:tcBorders>
            <w:vAlign w:val="center"/>
          </w:tcPr>
          <w:p w14:paraId="6E9A3019" w14:textId="77777777" w:rsidR="00E44DE0" w:rsidRDefault="00000000">
            <w:pPr>
              <w:pStyle w:val="Heading3"/>
              <w:spacing w:before="0" w:after="160"/>
            </w:pPr>
            <w:bookmarkStart w:id="38" w:name="_Toc229320712"/>
            <w:r>
              <w:rPr>
                <w:b/>
                <w:bCs/>
              </w:rPr>
              <w:t>2.2 Structure</w:t>
            </w:r>
            <w:bookmarkEnd w:id="38"/>
          </w:p>
        </w:tc>
        <w:tc>
          <w:tcPr>
            <w:tcW w:w="5323" w:type="dxa"/>
            <w:tcBorders>
              <w:top w:val="single" w:sz="6" w:space="0" w:color="000000"/>
              <w:left w:val="single" w:sz="6" w:space="0" w:color="000000"/>
              <w:bottom w:val="single" w:sz="6" w:space="0" w:color="000000"/>
              <w:right w:val="single" w:sz="6" w:space="0" w:color="000000"/>
            </w:tcBorders>
            <w:vAlign w:val="center"/>
          </w:tcPr>
          <w:p w14:paraId="2C342180" w14:textId="77777777" w:rsidR="00E44DE0" w:rsidRDefault="00000000">
            <w:r>
              <w:t>Story Count, Foundation (Slab/Basement/Crawl), Shell, Mass/Geometry.</w:t>
            </w:r>
          </w:p>
        </w:tc>
        <w:tc>
          <w:tcPr>
            <w:tcW w:w="2354" w:type="dxa"/>
            <w:tcBorders>
              <w:top w:val="single" w:sz="6" w:space="0" w:color="000000"/>
              <w:left w:val="single" w:sz="6" w:space="0" w:color="000000"/>
              <w:bottom w:val="single" w:sz="6" w:space="0" w:color="000000"/>
              <w:right w:val="single" w:sz="6" w:space="0" w:color="000000"/>
            </w:tcBorders>
            <w:vAlign w:val="center"/>
          </w:tcPr>
          <w:p w14:paraId="66F5ED0F" w14:textId="77777777" w:rsidR="00E44DE0" w:rsidRDefault="00000000">
            <w:r>
              <w:t xml:space="preserve">DOE/NREL Assets </w:t>
            </w:r>
          </w:p>
        </w:tc>
      </w:tr>
      <w:tr w:rsidR="00E44DE0" w14:paraId="71C01CDC" w14:textId="77777777">
        <w:tc>
          <w:tcPr>
            <w:tcW w:w="2243" w:type="dxa"/>
            <w:tcBorders>
              <w:top w:val="single" w:sz="6" w:space="0" w:color="000000"/>
              <w:left w:val="single" w:sz="6" w:space="0" w:color="000000"/>
              <w:bottom w:val="single" w:sz="6" w:space="0" w:color="000000"/>
              <w:right w:val="single" w:sz="6" w:space="0" w:color="000000"/>
            </w:tcBorders>
            <w:vAlign w:val="center"/>
          </w:tcPr>
          <w:p w14:paraId="6CBAF49B" w14:textId="77777777" w:rsidR="00E44DE0" w:rsidRDefault="00000000">
            <w:pPr>
              <w:pStyle w:val="Heading3"/>
              <w:spacing w:before="0" w:after="160"/>
            </w:pPr>
            <w:bookmarkStart w:id="39" w:name="_Toc229320713"/>
            <w:r>
              <w:rPr>
                <w:b/>
                <w:bCs/>
              </w:rPr>
              <w:t>2.3 Mechanical</w:t>
            </w:r>
            <w:bookmarkEnd w:id="39"/>
          </w:p>
        </w:tc>
        <w:tc>
          <w:tcPr>
            <w:tcW w:w="5323" w:type="dxa"/>
            <w:tcBorders>
              <w:top w:val="single" w:sz="6" w:space="0" w:color="000000"/>
              <w:left w:val="single" w:sz="6" w:space="0" w:color="000000"/>
              <w:bottom w:val="single" w:sz="6" w:space="0" w:color="000000"/>
              <w:right w:val="single" w:sz="6" w:space="0" w:color="000000"/>
            </w:tcBorders>
            <w:vAlign w:val="center"/>
          </w:tcPr>
          <w:p w14:paraId="5B46CC9A" w14:textId="77777777" w:rsidR="00E44DE0" w:rsidRDefault="00000000">
            <w:r>
              <w:t>Engine (Heat Pump/Split/Furnace), Distribution (Ducted/Ductless).</w:t>
            </w:r>
          </w:p>
        </w:tc>
        <w:tc>
          <w:tcPr>
            <w:tcW w:w="2354" w:type="dxa"/>
            <w:tcBorders>
              <w:top w:val="single" w:sz="6" w:space="0" w:color="000000"/>
              <w:left w:val="single" w:sz="6" w:space="0" w:color="000000"/>
              <w:bottom w:val="single" w:sz="6" w:space="0" w:color="000000"/>
              <w:right w:val="single" w:sz="6" w:space="0" w:color="000000"/>
            </w:tcBorders>
            <w:vAlign w:val="center"/>
          </w:tcPr>
          <w:p w14:paraId="4624182C" w14:textId="77777777" w:rsidR="00E44DE0" w:rsidRDefault="00000000">
            <w:r>
              <w:t xml:space="preserve">AHRI Mechanism </w:t>
            </w:r>
          </w:p>
        </w:tc>
      </w:tr>
      <w:tr w:rsidR="00E44DE0" w14:paraId="2E8217E3" w14:textId="77777777">
        <w:tc>
          <w:tcPr>
            <w:tcW w:w="2243" w:type="dxa"/>
            <w:tcBorders>
              <w:top w:val="single" w:sz="6" w:space="0" w:color="000000"/>
              <w:left w:val="single" w:sz="6" w:space="0" w:color="000000"/>
              <w:bottom w:val="single" w:sz="6" w:space="0" w:color="000000"/>
              <w:right w:val="single" w:sz="6" w:space="0" w:color="000000"/>
            </w:tcBorders>
            <w:vAlign w:val="center"/>
          </w:tcPr>
          <w:p w14:paraId="72200BB2" w14:textId="77777777" w:rsidR="00E44DE0" w:rsidRDefault="00000000">
            <w:pPr>
              <w:pStyle w:val="Heading3"/>
              <w:spacing w:before="0" w:after="160"/>
            </w:pPr>
            <w:bookmarkStart w:id="40" w:name="_Toc229320714"/>
            <w:r>
              <w:rPr>
                <w:b/>
                <w:bCs/>
              </w:rPr>
              <w:t>2.4 Market Segments</w:t>
            </w:r>
            <w:bookmarkEnd w:id="40"/>
          </w:p>
        </w:tc>
        <w:tc>
          <w:tcPr>
            <w:tcW w:w="5323" w:type="dxa"/>
            <w:tcBorders>
              <w:top w:val="single" w:sz="6" w:space="0" w:color="000000"/>
              <w:left w:val="single" w:sz="6" w:space="0" w:color="000000"/>
              <w:bottom w:val="single" w:sz="6" w:space="0" w:color="000000"/>
              <w:right w:val="single" w:sz="6" w:space="0" w:color="000000"/>
            </w:tcBorders>
            <w:vAlign w:val="center"/>
          </w:tcPr>
          <w:p w14:paraId="526D9B88" w14:textId="77777777" w:rsidR="00E44DE0" w:rsidRDefault="00000000">
            <w:r>
              <w:t>Permits, Inventory, Sales Pricing, Industrial Catalysts (e.g., Chip Fabs).</w:t>
            </w:r>
          </w:p>
        </w:tc>
        <w:tc>
          <w:tcPr>
            <w:tcW w:w="2354" w:type="dxa"/>
            <w:tcBorders>
              <w:top w:val="single" w:sz="6" w:space="0" w:color="000000"/>
              <w:left w:val="single" w:sz="6" w:space="0" w:color="000000"/>
              <w:bottom w:val="single" w:sz="6" w:space="0" w:color="000000"/>
              <w:right w:val="single" w:sz="6" w:space="0" w:color="000000"/>
            </w:tcBorders>
            <w:vAlign w:val="center"/>
          </w:tcPr>
          <w:p w14:paraId="51F49196" w14:textId="77777777" w:rsidR="00E44DE0" w:rsidRDefault="00000000">
            <w:r>
              <w:t xml:space="preserve">NAHB, Local HBAs, Municipal </w:t>
            </w:r>
          </w:p>
        </w:tc>
      </w:tr>
      <w:tr w:rsidR="00E44DE0" w14:paraId="7F3DD228" w14:textId="77777777">
        <w:tc>
          <w:tcPr>
            <w:tcW w:w="2243" w:type="dxa"/>
            <w:tcBorders>
              <w:top w:val="single" w:sz="6" w:space="0" w:color="000000"/>
              <w:left w:val="single" w:sz="6" w:space="0" w:color="000000"/>
              <w:bottom w:val="single" w:sz="6" w:space="0" w:color="000000"/>
              <w:right w:val="single" w:sz="6" w:space="0" w:color="000000"/>
            </w:tcBorders>
            <w:vAlign w:val="center"/>
          </w:tcPr>
          <w:p w14:paraId="4FDB249F" w14:textId="77777777" w:rsidR="00E44DE0" w:rsidRDefault="00000000">
            <w:pPr>
              <w:pStyle w:val="Heading3"/>
              <w:spacing w:before="0" w:after="160"/>
            </w:pPr>
            <w:bookmarkStart w:id="41" w:name="_Toc229320715"/>
            <w:r>
              <w:rPr>
                <w:b/>
                <w:bCs/>
              </w:rPr>
              <w:t>2.5 Socio-Economic</w:t>
            </w:r>
            <w:bookmarkEnd w:id="41"/>
          </w:p>
        </w:tc>
        <w:tc>
          <w:tcPr>
            <w:tcW w:w="5323" w:type="dxa"/>
            <w:tcBorders>
              <w:top w:val="single" w:sz="6" w:space="0" w:color="000000"/>
              <w:left w:val="single" w:sz="6" w:space="0" w:color="000000"/>
              <w:bottom w:val="single" w:sz="6" w:space="0" w:color="000000"/>
              <w:right w:val="single" w:sz="6" w:space="0" w:color="000000"/>
            </w:tcBorders>
            <w:vAlign w:val="center"/>
          </w:tcPr>
          <w:p w14:paraId="2518DAB4" w14:textId="77777777" w:rsidR="00E44DE0" w:rsidRDefault="00000000">
            <w:r>
              <w:rPr>
                <w:b/>
                <w:bCs/>
              </w:rPr>
              <w:t>Male/Female-Specific</w:t>
            </w:r>
            <w:r>
              <w:t xml:space="preserve"> preferences, Age, Income, Education, Composition.</w:t>
            </w:r>
          </w:p>
        </w:tc>
        <w:tc>
          <w:tcPr>
            <w:tcW w:w="2354" w:type="dxa"/>
            <w:tcBorders>
              <w:top w:val="single" w:sz="6" w:space="0" w:color="000000"/>
              <w:left w:val="single" w:sz="6" w:space="0" w:color="000000"/>
              <w:bottom w:val="single" w:sz="6" w:space="0" w:color="000000"/>
              <w:right w:val="single" w:sz="6" w:space="0" w:color="000000"/>
            </w:tcBorders>
            <w:vAlign w:val="center"/>
          </w:tcPr>
          <w:p w14:paraId="458AF74B" w14:textId="77777777" w:rsidR="00E44DE0" w:rsidRDefault="00000000">
            <w:r>
              <w:t xml:space="preserve">US Census </w:t>
            </w:r>
          </w:p>
        </w:tc>
      </w:tr>
      <w:tr w:rsidR="00E44DE0" w14:paraId="33FB04D9" w14:textId="77777777">
        <w:tc>
          <w:tcPr>
            <w:tcW w:w="2243" w:type="dxa"/>
            <w:tcBorders>
              <w:top w:val="single" w:sz="6" w:space="0" w:color="000000"/>
              <w:left w:val="single" w:sz="6" w:space="0" w:color="000000"/>
              <w:bottom w:val="single" w:sz="6" w:space="0" w:color="000000"/>
              <w:right w:val="single" w:sz="6" w:space="0" w:color="000000"/>
            </w:tcBorders>
            <w:vAlign w:val="center"/>
          </w:tcPr>
          <w:p w14:paraId="01B4478A" w14:textId="77777777" w:rsidR="00E44DE0" w:rsidRDefault="00000000">
            <w:pPr>
              <w:pStyle w:val="Heading3"/>
              <w:spacing w:before="0" w:after="160"/>
            </w:pPr>
            <w:bookmarkStart w:id="42" w:name="_Toc229320716"/>
            <w:r>
              <w:rPr>
                <w:b/>
                <w:bCs/>
              </w:rPr>
              <w:t>2.6 Behavioral</w:t>
            </w:r>
            <w:bookmarkEnd w:id="42"/>
          </w:p>
        </w:tc>
        <w:tc>
          <w:tcPr>
            <w:tcW w:w="5323" w:type="dxa"/>
            <w:tcBorders>
              <w:top w:val="single" w:sz="6" w:space="0" w:color="000000"/>
              <w:left w:val="single" w:sz="6" w:space="0" w:color="000000"/>
              <w:bottom w:val="single" w:sz="6" w:space="0" w:color="000000"/>
              <w:right w:val="single" w:sz="6" w:space="0" w:color="000000"/>
            </w:tcBorders>
            <w:vAlign w:val="center"/>
          </w:tcPr>
          <w:p w14:paraId="7C29281C" w14:textId="77777777" w:rsidR="00E44DE0" w:rsidRDefault="00000000">
            <w:r>
              <w:t>Usage Signatures (Worker/Retiree/Family/WFH), 1Hz Power Delta.</w:t>
            </w:r>
          </w:p>
        </w:tc>
        <w:tc>
          <w:tcPr>
            <w:tcW w:w="2354" w:type="dxa"/>
            <w:tcBorders>
              <w:top w:val="single" w:sz="6" w:space="0" w:color="000000"/>
              <w:left w:val="single" w:sz="6" w:space="0" w:color="000000"/>
              <w:bottom w:val="single" w:sz="6" w:space="0" w:color="000000"/>
              <w:right w:val="single" w:sz="6" w:space="0" w:color="000000"/>
            </w:tcBorders>
            <w:vAlign w:val="center"/>
          </w:tcPr>
          <w:p w14:paraId="51F4B61B" w14:textId="77777777" w:rsidR="00E44DE0" w:rsidRDefault="00000000">
            <w:r>
              <w:t xml:space="preserve">Eaton 1Hz Data </w:t>
            </w:r>
          </w:p>
        </w:tc>
      </w:tr>
      <w:tr w:rsidR="00E44DE0" w14:paraId="50878920" w14:textId="77777777">
        <w:tc>
          <w:tcPr>
            <w:tcW w:w="2243" w:type="dxa"/>
            <w:tcBorders>
              <w:top w:val="single" w:sz="6" w:space="0" w:color="000000"/>
              <w:left w:val="single" w:sz="6" w:space="0" w:color="000000"/>
              <w:bottom w:val="single" w:sz="6" w:space="0" w:color="000000"/>
              <w:right w:val="single" w:sz="6" w:space="0" w:color="000000"/>
            </w:tcBorders>
            <w:vAlign w:val="center"/>
          </w:tcPr>
          <w:p w14:paraId="3FF5C6E8" w14:textId="77777777" w:rsidR="00E44DE0" w:rsidRDefault="00000000">
            <w:pPr>
              <w:pStyle w:val="Heading3"/>
              <w:spacing w:before="0" w:after="160"/>
            </w:pPr>
            <w:bookmarkStart w:id="43" w:name="_Toc229320717"/>
            <w:r>
              <w:rPr>
                <w:b/>
                <w:bCs/>
              </w:rPr>
              <w:t>2.7 Infrastructure</w:t>
            </w:r>
            <w:bookmarkEnd w:id="43"/>
          </w:p>
        </w:tc>
        <w:tc>
          <w:tcPr>
            <w:tcW w:w="5323" w:type="dxa"/>
            <w:tcBorders>
              <w:top w:val="single" w:sz="6" w:space="0" w:color="000000"/>
              <w:left w:val="single" w:sz="6" w:space="0" w:color="000000"/>
              <w:bottom w:val="single" w:sz="6" w:space="0" w:color="000000"/>
              <w:right w:val="single" w:sz="6" w:space="0" w:color="000000"/>
            </w:tcBorders>
            <w:vAlign w:val="center"/>
          </w:tcPr>
          <w:p w14:paraId="52DC9676" w14:textId="77777777" w:rsidR="00E44DE0" w:rsidRDefault="00000000">
            <w:r>
              <w:t>Hardware Brand/Generation, Firmware Version (e.g., Eaton EMCB v2).</w:t>
            </w:r>
          </w:p>
        </w:tc>
        <w:tc>
          <w:tcPr>
            <w:tcW w:w="2354" w:type="dxa"/>
            <w:tcBorders>
              <w:top w:val="single" w:sz="6" w:space="0" w:color="000000"/>
              <w:left w:val="single" w:sz="6" w:space="0" w:color="000000"/>
              <w:bottom w:val="single" w:sz="6" w:space="0" w:color="000000"/>
              <w:right w:val="single" w:sz="6" w:space="0" w:color="000000"/>
            </w:tcBorders>
            <w:vAlign w:val="center"/>
          </w:tcPr>
          <w:p w14:paraId="73850115" w14:textId="77777777" w:rsidR="00E44DE0" w:rsidRDefault="00000000">
            <w:r>
              <w:t xml:space="preserve">Device Metadata </w:t>
            </w:r>
          </w:p>
        </w:tc>
      </w:tr>
    </w:tbl>
    <w:p w14:paraId="7AA46C42" w14:textId="77777777" w:rsidR="00E44DE0" w:rsidRDefault="00E44DE0"/>
    <w:p w14:paraId="10DA25CD" w14:textId="77777777" w:rsidR="00E44DE0" w:rsidRDefault="00E44DE0">
      <w:pPr>
        <w:rPr>
          <w:b/>
          <w:bCs/>
          <w:sz w:val="28"/>
          <w:szCs w:val="28"/>
        </w:rPr>
      </w:pPr>
    </w:p>
    <w:p w14:paraId="1BE8ECB0" w14:textId="77777777" w:rsidR="00E44DE0" w:rsidRDefault="00000000">
      <w:pPr>
        <w:pStyle w:val="Heading2"/>
        <w:rPr>
          <w:b/>
          <w:bCs/>
          <w:sz w:val="28"/>
          <w:szCs w:val="28"/>
        </w:rPr>
      </w:pPr>
      <w:bookmarkStart w:id="44" w:name="_Toc229320718"/>
      <w:r>
        <w:rPr>
          <w:b/>
          <w:bCs/>
          <w:sz w:val="28"/>
          <w:szCs w:val="28"/>
        </w:rPr>
        <w:t>3. Atomic Parameter Propagation &amp; Statistical Maturity</w:t>
      </w:r>
      <w:bookmarkEnd w:id="44"/>
    </w:p>
    <w:p w14:paraId="51CCCCCA" w14:textId="77777777" w:rsidR="00E44DE0" w:rsidRDefault="00000000">
      <w:r>
        <w:t>The logic for managing the "Truth" across the distributed network.</w:t>
      </w:r>
    </w:p>
    <w:p w14:paraId="38D94BB5" w14:textId="77777777" w:rsidR="00E44DE0" w:rsidRDefault="00000000">
      <w:pPr>
        <w:pStyle w:val="Heading3"/>
        <w:rPr>
          <w:b/>
          <w:bCs/>
        </w:rPr>
      </w:pPr>
      <w:bookmarkStart w:id="45" w:name="_Toc229320719"/>
      <w:r>
        <w:rPr>
          <w:b/>
          <w:bCs/>
        </w:rPr>
        <w:t>3.1 Atomic Parameter Propagation</w:t>
      </w:r>
      <w:bookmarkEnd w:id="45"/>
    </w:p>
    <w:p w14:paraId="033A2EEE" w14:textId="77777777" w:rsidR="00E44DE0" w:rsidRDefault="00000000">
      <w:pPr>
        <w:numPr>
          <w:ilvl w:val="0"/>
          <w:numId w:val="17"/>
        </w:numPr>
        <w:spacing w:line="240" w:lineRule="auto"/>
      </w:pPr>
      <w:r>
        <w:rPr>
          <w:b/>
          <w:bCs/>
        </w:rPr>
        <w:t>Requirement</w:t>
      </w:r>
      <w:r>
        <w:t>: Update discrete physical attributes across the fleet without re-simulating individual home files.</w:t>
      </w:r>
    </w:p>
    <w:p w14:paraId="6A272192" w14:textId="77777777" w:rsidR="00E44DE0" w:rsidRDefault="00000000">
      <w:pPr>
        <w:numPr>
          <w:ilvl w:val="0"/>
          <w:numId w:val="17"/>
        </w:numPr>
        <w:spacing w:line="240" w:lineRule="auto"/>
      </w:pPr>
      <w:r>
        <w:rPr>
          <w:b/>
          <w:bCs/>
        </w:rPr>
        <w:t>Process</w:t>
      </w:r>
      <w:r>
        <w:t>: The Big Digital Twin identifies all homes in the Graph Database tagged with a specific attribute (e.g., a specific stucco brand's thermal decay coefficient).</w:t>
      </w:r>
    </w:p>
    <w:p w14:paraId="7A3FD852" w14:textId="77777777" w:rsidR="00E44DE0" w:rsidRDefault="00000000">
      <w:pPr>
        <w:numPr>
          <w:ilvl w:val="0"/>
          <w:numId w:val="17"/>
        </w:numPr>
        <w:spacing w:line="240" w:lineRule="auto"/>
      </w:pPr>
      <w:r>
        <w:rPr>
          <w:b/>
          <w:bCs/>
        </w:rPr>
        <w:t>Output</w:t>
      </w:r>
      <w:r>
        <w:t>: Automatic propagation of updated certainty-equivalent controller parameters, signed by the Clearinghouse, to the local HPMs.</w:t>
      </w:r>
    </w:p>
    <w:p w14:paraId="7E5AC369" w14:textId="77777777" w:rsidR="00E44DE0" w:rsidRDefault="00000000">
      <w:pPr>
        <w:pStyle w:val="Heading3"/>
        <w:rPr>
          <w:b/>
          <w:bCs/>
        </w:rPr>
      </w:pPr>
      <w:bookmarkStart w:id="46" w:name="_Toc229320720"/>
      <w:r>
        <w:rPr>
          <w:b/>
          <w:bCs/>
        </w:rPr>
        <w:lastRenderedPageBreak/>
        <w:t>3.2 Hierarchical Inheritance &amp; The 90-Home Threshold</w:t>
      </w:r>
      <w:bookmarkEnd w:id="46"/>
    </w:p>
    <w:p w14:paraId="7B079C7C" w14:textId="77777777" w:rsidR="00E44DE0" w:rsidRDefault="00000000">
      <w:pPr>
        <w:numPr>
          <w:ilvl w:val="0"/>
          <w:numId w:val="18"/>
        </w:numPr>
        <w:spacing w:line="240" w:lineRule="auto"/>
      </w:pPr>
      <w:r>
        <w:rPr>
          <w:b/>
          <w:bCs/>
        </w:rPr>
        <w:t>Logic</w:t>
      </w:r>
      <w:r>
        <w:t xml:space="preserve">: If a hyper-local cohort has fewer than </w:t>
      </w:r>
      <w:r>
        <w:rPr>
          <w:b/>
          <w:bCs/>
        </w:rPr>
        <w:t>N=90</w:t>
      </w:r>
      <w:r>
        <w:t xml:space="preserve"> assets, the home inherits its reference model from the most specific and already validated Parent Model.</w:t>
      </w:r>
    </w:p>
    <w:p w14:paraId="6E0B3F4C" w14:textId="77777777" w:rsidR="00E44DE0" w:rsidRDefault="00000000">
      <w:pPr>
        <w:numPr>
          <w:ilvl w:val="0"/>
          <w:numId w:val="18"/>
        </w:numPr>
        <w:spacing w:line="240" w:lineRule="auto"/>
      </w:pPr>
      <w:r>
        <w:rPr>
          <w:b/>
          <w:bCs/>
        </w:rPr>
        <w:t>Statistical Threshold</w:t>
      </w:r>
      <w:r>
        <w:t xml:space="preserve">: Upon reaching the 90th active home, the cluster executes an Actuarial Maturity Validation (95% confidence level) and is upgraded to an autonomous </w:t>
      </w:r>
      <w:r>
        <w:rPr>
          <w:b/>
          <w:bCs/>
        </w:rPr>
        <w:t>Master Reference Model "M"</w:t>
      </w:r>
      <w:r>
        <w:t>.</w:t>
      </w:r>
    </w:p>
    <w:p w14:paraId="4088495C" w14:textId="77777777" w:rsidR="00E44DE0" w:rsidRDefault="00E44DE0"/>
    <w:p w14:paraId="477326E9" w14:textId="77777777" w:rsidR="00E44DE0" w:rsidRDefault="00000000">
      <w:pPr>
        <w:pStyle w:val="Heading2"/>
        <w:rPr>
          <w:b/>
          <w:bCs/>
          <w:sz w:val="28"/>
          <w:szCs w:val="28"/>
        </w:rPr>
      </w:pPr>
      <w:bookmarkStart w:id="47" w:name="_Toc229320721"/>
      <w:r>
        <w:rPr>
          <w:b/>
          <w:bCs/>
          <w:sz w:val="28"/>
          <w:szCs w:val="28"/>
        </w:rPr>
        <w:t>4. Characterization of Occupant Motivations &amp; Preferences</w:t>
      </w:r>
      <w:bookmarkEnd w:id="47"/>
    </w:p>
    <w:p w14:paraId="27A8A657" w14:textId="77777777" w:rsidR="00E44DE0" w:rsidRDefault="00000000">
      <w:r>
        <w:t>Defining how the Big Digital Twin represents human choice rather than physical performance.</w:t>
      </w:r>
    </w:p>
    <w:p w14:paraId="0C022E73" w14:textId="77777777" w:rsidR="00E44DE0" w:rsidRDefault="00000000">
      <w:pPr>
        <w:pStyle w:val="Heading3"/>
        <w:rPr>
          <w:b/>
          <w:bCs/>
        </w:rPr>
      </w:pPr>
      <w:bookmarkStart w:id="48" w:name="_Toc229320722"/>
      <w:r>
        <w:rPr>
          <w:b/>
          <w:bCs/>
        </w:rPr>
        <w:t>4.1 Age- and Male/Female-Specific Reference Modeling</w:t>
      </w:r>
      <w:bookmarkEnd w:id="48"/>
    </w:p>
    <w:p w14:paraId="4ABCB942" w14:textId="77777777" w:rsidR="00E44DE0" w:rsidRDefault="00000000">
      <w:pPr>
        <w:numPr>
          <w:ilvl w:val="0"/>
          <w:numId w:val="19"/>
        </w:numPr>
        <w:spacing w:line="240" w:lineRule="auto"/>
      </w:pPr>
      <w:r>
        <w:rPr>
          <w:b/>
          <w:bCs/>
        </w:rPr>
        <w:t>Process</w:t>
      </w:r>
      <w:r>
        <w:t xml:space="preserve">: Fleet-wide aggregation of </w:t>
      </w:r>
      <w:r>
        <w:rPr>
          <w:b/>
          <w:bCs/>
        </w:rPr>
        <w:t xml:space="preserve">frequent </w:t>
      </w:r>
      <w:proofErr w:type="spellStart"/>
      <w:r>
        <w:rPr>
          <w:b/>
          <w:bCs/>
        </w:rPr>
        <w:t>thermstat</w:t>
      </w:r>
      <w:proofErr w:type="spellEnd"/>
      <w:r>
        <w:rPr>
          <w:b/>
          <w:bCs/>
        </w:rPr>
        <w:t xml:space="preserve"> adjustment</w:t>
      </w:r>
      <w:r>
        <w:t xml:space="preserve"> data to refine setpoint stability thresholds.  </w:t>
      </w:r>
    </w:p>
    <w:p w14:paraId="451BFDC1" w14:textId="77777777" w:rsidR="00E44DE0" w:rsidRDefault="00000000">
      <w:pPr>
        <w:numPr>
          <w:ilvl w:val="0"/>
          <w:numId w:val="19"/>
        </w:numPr>
        <w:spacing w:line="240" w:lineRule="auto"/>
      </w:pPr>
      <w:r>
        <w:rPr>
          <w:b/>
          <w:bCs/>
        </w:rPr>
        <w:t>Integration</w:t>
      </w:r>
      <w:r>
        <w:t>: Incorporating ASHRAE research regarding biological metabolic differences between the sexes as well as age brackets to refine comfort-elasticity scores.</w:t>
      </w:r>
    </w:p>
    <w:p w14:paraId="5DE2BAB7" w14:textId="77777777" w:rsidR="00E44DE0" w:rsidRDefault="00000000">
      <w:pPr>
        <w:pStyle w:val="Heading3"/>
        <w:rPr>
          <w:b/>
          <w:bCs/>
        </w:rPr>
      </w:pPr>
      <w:bookmarkStart w:id="49" w:name="_Toc229320723"/>
      <w:r>
        <w:rPr>
          <w:b/>
          <w:bCs/>
        </w:rPr>
        <w:t>4.2  IAQ &amp; Operational Economic Mapping</w:t>
      </w:r>
      <w:bookmarkEnd w:id="49"/>
    </w:p>
    <w:p w14:paraId="5E21E402" w14:textId="77777777" w:rsidR="00E44DE0" w:rsidRDefault="00000000">
      <w:pPr>
        <w:numPr>
          <w:ilvl w:val="0"/>
          <w:numId w:val="20"/>
        </w:numPr>
        <w:spacing w:line="240" w:lineRule="auto"/>
        <w:rPr>
          <w:strike/>
        </w:rPr>
      </w:pPr>
      <w:r>
        <w:rPr>
          <w:b/>
          <w:bCs/>
        </w:rPr>
        <w:t>Process</w:t>
      </w:r>
      <w:r>
        <w:t>: Correlation of detected occupancy levels with CO2/VOC sensing and to identify corresponding health risks.</w:t>
      </w:r>
    </w:p>
    <w:p w14:paraId="5534FF49" w14:textId="77777777" w:rsidR="00E44DE0" w:rsidRDefault="00000000">
      <w:pPr>
        <w:numPr>
          <w:ilvl w:val="0"/>
          <w:numId w:val="20"/>
        </w:numPr>
        <w:spacing w:line="240" w:lineRule="auto"/>
      </w:pPr>
      <w:r>
        <w:rPr>
          <w:b/>
          <w:bCs/>
        </w:rPr>
        <w:t>Economics</w:t>
      </w:r>
      <w:r>
        <w:t>: Analyzing occupant budget guardrails to generate demand-response forecasts (</w:t>
      </w:r>
      <w:proofErr w:type="spellStart"/>
      <w:r>
        <w:rPr>
          <w:b/>
          <w:bCs/>
        </w:rPr>
        <w:t>Negawatt</w:t>
      </w:r>
      <w:proofErr w:type="spellEnd"/>
      <w:r>
        <w:rPr>
          <w:b/>
          <w:bCs/>
        </w:rPr>
        <w:t xml:space="preserve"> capacity</w:t>
      </w:r>
      <w:r>
        <w:t>) for the Clearinghouse.</w:t>
      </w:r>
    </w:p>
    <w:p w14:paraId="6D327633" w14:textId="77777777" w:rsidR="00E44DE0" w:rsidRDefault="00E44DE0"/>
    <w:p w14:paraId="43ED64D5" w14:textId="77777777" w:rsidR="00E44DE0" w:rsidRDefault="00E44DE0">
      <w:pPr>
        <w:rPr>
          <w:b/>
          <w:bCs/>
        </w:rPr>
      </w:pPr>
    </w:p>
    <w:p w14:paraId="05422536" w14:textId="77777777" w:rsidR="00E44DE0" w:rsidRDefault="00E44DE0">
      <w:pPr>
        <w:rPr>
          <w:b/>
          <w:bCs/>
          <w:sz w:val="28"/>
          <w:szCs w:val="28"/>
        </w:rPr>
      </w:pPr>
    </w:p>
    <w:p w14:paraId="559A3653" w14:textId="77777777" w:rsidR="00E44DE0" w:rsidRDefault="00000000">
      <w:pPr>
        <w:pStyle w:val="Heading2"/>
        <w:rPr>
          <w:b/>
          <w:bCs/>
          <w:sz w:val="28"/>
          <w:szCs w:val="28"/>
        </w:rPr>
      </w:pPr>
      <w:bookmarkStart w:id="50" w:name="_Toc229320724"/>
      <w:r>
        <w:rPr>
          <w:b/>
          <w:bCs/>
          <w:sz w:val="28"/>
          <w:szCs w:val="28"/>
        </w:rPr>
        <w:t>5. Integrity Layer (The "Physics Lie Detector")</w:t>
      </w:r>
      <w:bookmarkEnd w:id="50"/>
    </w:p>
    <w:p w14:paraId="1822E05A" w14:textId="77777777" w:rsidR="00E44DE0" w:rsidRDefault="00000000">
      <w:r>
        <w:t>Enforcing thermodynamic and statistical consistency.</w:t>
      </w:r>
    </w:p>
    <w:p w14:paraId="0D059A24" w14:textId="77777777" w:rsidR="00E44DE0" w:rsidRDefault="00000000">
      <w:pPr>
        <w:pStyle w:val="Heading3"/>
        <w:numPr>
          <w:ilvl w:val="0"/>
          <w:numId w:val="22"/>
        </w:numPr>
        <w:spacing w:line="240" w:lineRule="auto"/>
      </w:pPr>
      <w:bookmarkStart w:id="51" w:name="_Toc229320725"/>
      <w:r>
        <w:rPr>
          <w:b/>
          <w:bCs/>
        </w:rPr>
        <w:t>5.1 Supplier/Installer Fraud &amp; Occupant Anti-Gaming</w:t>
      </w:r>
      <w:r>
        <w:t>: Identifying sensor manipulation or hard-wired "jumper" bypasses.</w:t>
      </w:r>
      <w:bookmarkEnd w:id="51"/>
    </w:p>
    <w:p w14:paraId="2AF70875" w14:textId="77777777" w:rsidR="00E44DE0" w:rsidRDefault="00000000">
      <w:pPr>
        <w:numPr>
          <w:ilvl w:val="0"/>
          <w:numId w:val="22"/>
        </w:numPr>
        <w:spacing w:line="240" w:lineRule="auto"/>
      </w:pPr>
      <w:r>
        <w:rPr>
          <w:b/>
          <w:bCs/>
        </w:rPr>
        <w:t>Vendor Manipulation Detection</w:t>
      </w:r>
      <w:r>
        <w:t>: Identifying equipment vendors attempting to "game the system" by manipulating sensor outputs (such as readings provided by HVAC on-board diagnostics) to inflate product performance metrics.</w:t>
      </w:r>
    </w:p>
    <w:p w14:paraId="620C3EE1" w14:textId="77777777" w:rsidR="00E44DE0" w:rsidRDefault="00000000">
      <w:pPr>
        <w:numPr>
          <w:ilvl w:val="0"/>
          <w:numId w:val="22"/>
        </w:numPr>
        <w:spacing w:line="240" w:lineRule="auto"/>
      </w:pPr>
      <w:r>
        <w:rPr>
          <w:b/>
          <w:bCs/>
        </w:rPr>
        <w:t>Process</w:t>
      </w:r>
      <w:r>
        <w:t xml:space="preserve">: Detection of sensor data manipulation achieved via time-series analysis, specifically utilizing </w:t>
      </w:r>
      <w:r>
        <w:rPr>
          <w:b/>
          <w:bCs/>
        </w:rPr>
        <w:t>auto- and/or cross-correlation</w:t>
      </w:r>
      <w:r>
        <w:t xml:space="preserve"> of stored records to verify thermodynamic consistency.</w:t>
      </w:r>
    </w:p>
    <w:p w14:paraId="0AD5176E" w14:textId="77777777" w:rsidR="00E44DE0" w:rsidRDefault="00E44DE0"/>
    <w:p w14:paraId="2BF09AB3" w14:textId="77777777" w:rsidR="00E44DE0" w:rsidRDefault="00000000">
      <w:pPr>
        <w:pStyle w:val="Heading2"/>
        <w:rPr>
          <w:b/>
          <w:bCs/>
          <w:sz w:val="28"/>
          <w:szCs w:val="28"/>
        </w:rPr>
      </w:pPr>
      <w:bookmarkStart w:id="52" w:name="_Toc229320726"/>
      <w:r>
        <w:rPr>
          <w:b/>
          <w:bCs/>
          <w:sz w:val="28"/>
          <w:szCs w:val="28"/>
        </w:rPr>
        <w:lastRenderedPageBreak/>
        <w:t>6. Institutional Clearinghouse &amp; Information Products</w:t>
      </w:r>
      <w:bookmarkEnd w:id="52"/>
    </w:p>
    <w:p w14:paraId="486B804C" w14:textId="77777777" w:rsidR="00E44DE0" w:rsidRDefault="00000000">
      <w:r>
        <w:t>Packaging "Truth" into actionable financial and operational assets.</w:t>
      </w:r>
    </w:p>
    <w:p w14:paraId="5F25B115" w14:textId="77777777" w:rsidR="00E44DE0" w:rsidRDefault="00000000">
      <w:pPr>
        <w:pStyle w:val="Heading3"/>
        <w:rPr>
          <w:b/>
          <w:bCs/>
        </w:rPr>
      </w:pPr>
      <w:bookmarkStart w:id="53" w:name="_Toc229320727"/>
      <w:r>
        <w:rPr>
          <w:b/>
          <w:bCs/>
        </w:rPr>
        <w:t>6.1 Horizontal Slicing &amp; Market Products</w:t>
      </w:r>
      <w:bookmarkEnd w:id="53"/>
    </w:p>
    <w:p w14:paraId="44076BCA" w14:textId="77777777" w:rsidR="00E44DE0" w:rsidRDefault="00000000">
      <w:pPr>
        <w:numPr>
          <w:ilvl w:val="0"/>
          <w:numId w:val="21"/>
        </w:numPr>
        <w:spacing w:line="240" w:lineRule="auto"/>
      </w:pPr>
      <w:r>
        <w:rPr>
          <w:b/>
          <w:bCs/>
        </w:rPr>
        <w:t>Horizontal Slicing</w:t>
      </w:r>
      <w:r>
        <w:t xml:space="preserve">: Correlating systemic material or mechanical defects (e.g., </w:t>
      </w:r>
      <w:r>
        <w:rPr>
          <w:u w:val="single"/>
        </w:rPr>
        <w:t>excessive</w:t>
      </w:r>
      <w:r>
        <w:t xml:space="preserve"> spray foam VOCs) across different cohorts within days of installation.</w:t>
      </w:r>
    </w:p>
    <w:p w14:paraId="6BBEF334" w14:textId="77777777" w:rsidR="00E44DE0" w:rsidRDefault="00000000">
      <w:pPr>
        <w:numPr>
          <w:ilvl w:val="0"/>
          <w:numId w:val="21"/>
        </w:numPr>
        <w:spacing w:line="240" w:lineRule="auto"/>
      </w:pPr>
      <w:r>
        <w:rPr>
          <w:b/>
          <w:bCs/>
        </w:rPr>
        <w:t>Product Packaging</w:t>
      </w:r>
      <w:r>
        <w:t>:</w:t>
      </w:r>
    </w:p>
    <w:p w14:paraId="17851564" w14:textId="77777777" w:rsidR="00E44DE0" w:rsidRDefault="00000000">
      <w:pPr>
        <w:numPr>
          <w:ilvl w:val="1"/>
          <w:numId w:val="21"/>
        </w:numPr>
        <w:spacing w:line="240" w:lineRule="auto"/>
      </w:pPr>
      <w:r>
        <w:rPr>
          <w:b/>
          <w:bCs/>
        </w:rPr>
        <w:t>Resilience &amp; Health Certificates</w:t>
      </w:r>
      <w:r>
        <w:t>: Verified structural and IAQ performance for insurers.</w:t>
      </w:r>
    </w:p>
    <w:p w14:paraId="67926EC6" w14:textId="77777777" w:rsidR="00E44DE0" w:rsidRDefault="00000000">
      <w:pPr>
        <w:numPr>
          <w:ilvl w:val="1"/>
          <w:numId w:val="21"/>
        </w:numPr>
        <w:spacing w:line="240" w:lineRule="auto"/>
      </w:pPr>
      <w:r>
        <w:rPr>
          <w:b/>
          <w:bCs/>
        </w:rPr>
        <w:t>Market Demand Forecasts</w:t>
      </w:r>
      <w:r>
        <w:t>: Predicting regional housing demand shifts based on industrial growth (e.g., Chip Fabs) and workforce influx.</w:t>
      </w:r>
    </w:p>
    <w:p w14:paraId="77B08CC6" w14:textId="77777777" w:rsidR="00E44DE0" w:rsidRDefault="00E44DE0"/>
    <w:p w14:paraId="4B1588E2" w14:textId="77777777" w:rsidR="00E44DE0" w:rsidRDefault="00E44DE0"/>
    <w:p w14:paraId="143110CF" w14:textId="77777777" w:rsidR="00E44DE0" w:rsidRDefault="00000000">
      <w:pPr>
        <w:pStyle w:val="Heading1"/>
      </w:pPr>
      <w:bookmarkStart w:id="54" w:name="_Toc229320728"/>
      <w:r>
        <w:rPr>
          <w:b/>
          <w:bCs/>
          <w:sz w:val="32"/>
          <w:szCs w:val="32"/>
        </w:rPr>
        <w:t>The AIVU Clearinghouse</w:t>
      </w:r>
      <w:bookmarkEnd w:id="54"/>
      <w:r>
        <w:rPr>
          <w:b/>
          <w:bCs/>
          <w:sz w:val="32"/>
          <w:szCs w:val="32"/>
        </w:rPr>
        <w:br/>
      </w:r>
    </w:p>
    <w:p w14:paraId="395E8C59" w14:textId="77777777" w:rsidR="00E44DE0" w:rsidRDefault="00000000">
      <w:pPr>
        <w:pStyle w:val="Heading2"/>
        <w:rPr>
          <w:b/>
          <w:bCs/>
          <w:sz w:val="28"/>
          <w:szCs w:val="28"/>
        </w:rPr>
      </w:pPr>
      <w:bookmarkStart w:id="55" w:name="_Toc229320729"/>
      <w:r>
        <w:rPr>
          <w:b/>
          <w:bCs/>
          <w:sz w:val="28"/>
          <w:szCs w:val="28"/>
        </w:rPr>
        <w:t>0.  The Neutral Third-Party Mandate</w:t>
      </w:r>
      <w:bookmarkEnd w:id="55"/>
    </w:p>
    <w:p w14:paraId="7B3B002E" w14:textId="77777777" w:rsidR="00E44DE0" w:rsidRDefault="00000000">
      <w:r>
        <w:rPr>
          <w:i/>
          <w:iCs/>
        </w:rPr>
        <w:t>Theme: The Architecture of Objectivity &amp; Technical Superiority</w:t>
      </w:r>
      <w:r>
        <w:t xml:space="preserve"> </w:t>
      </w:r>
    </w:p>
    <w:p w14:paraId="2182DA5A" w14:textId="77777777" w:rsidR="00E44DE0" w:rsidRDefault="00000000">
      <w:pPr>
        <w:pStyle w:val="Heading3"/>
        <w:numPr>
          <w:ilvl w:val="0"/>
          <w:numId w:val="35"/>
        </w:numPr>
        <w:spacing w:line="240" w:lineRule="auto"/>
      </w:pPr>
      <w:r>
        <w:rPr>
          <w:b/>
          <w:bCs/>
        </w:rPr>
        <w:t>0.1 The Superiority of the Neutral Model:</w:t>
      </w:r>
      <w:r>
        <w:t xml:space="preserve"> </w:t>
      </w:r>
    </w:p>
    <w:p w14:paraId="33FF68EA" w14:textId="77777777" w:rsidR="00E44DE0" w:rsidRDefault="00000000">
      <w:r>
        <w:t>Codifying why AIVU is superior to OEM-led (conflicted), Utility-led (granularity gap), or Standards-led (stagnation trap) models .</w:t>
      </w:r>
    </w:p>
    <w:p w14:paraId="6868B804" w14:textId="77777777" w:rsidR="00E44DE0" w:rsidRDefault="00000000">
      <w:pPr>
        <w:pStyle w:val="Heading3"/>
        <w:numPr>
          <w:ilvl w:val="0"/>
          <w:numId w:val="35"/>
        </w:numPr>
        <w:spacing w:line="240" w:lineRule="auto"/>
      </w:pPr>
      <w:r>
        <w:rPr>
          <w:b/>
          <w:bCs/>
        </w:rPr>
        <w:t>0.2 Data Collection Superiority:</w:t>
      </w:r>
      <w:r>
        <w:t xml:space="preserve"> </w:t>
      </w:r>
    </w:p>
    <w:p w14:paraId="14685795" w14:textId="77777777" w:rsidR="00E44DE0" w:rsidRDefault="00000000">
      <w:r>
        <w:t>Defining the "Born Educated" chain of custody from architectural intent to 1Hz telemetry .</w:t>
      </w:r>
    </w:p>
    <w:p w14:paraId="01F4B8B6" w14:textId="77777777" w:rsidR="00E44DE0" w:rsidRDefault="00000000">
      <w:pPr>
        <w:pStyle w:val="Heading3"/>
        <w:numPr>
          <w:ilvl w:val="0"/>
          <w:numId w:val="35"/>
        </w:numPr>
        <w:spacing w:line="240" w:lineRule="auto"/>
      </w:pPr>
      <w:r>
        <w:rPr>
          <w:b/>
          <w:bCs/>
        </w:rPr>
        <w:t>0.3 Operational Mandate of Objectivity:</w:t>
      </w:r>
      <w:r>
        <w:t xml:space="preserve"> </w:t>
      </w:r>
    </w:p>
    <w:p w14:paraId="245EDFD5" w14:textId="77777777" w:rsidR="00E44DE0" w:rsidRDefault="00000000">
      <w:proofErr w:type="gramStart"/>
      <w:r>
        <w:t>Hard-coding</w:t>
      </w:r>
      <w:proofErr w:type="gramEnd"/>
      <w:r>
        <w:t xml:space="preserve"> the First Law of Thermodynamics as a non-negotiable filter for all institutional analysis .</w:t>
      </w:r>
    </w:p>
    <w:p w14:paraId="66BDAD52" w14:textId="77777777" w:rsidR="00E44DE0" w:rsidRDefault="00000000">
      <w:pPr>
        <w:pStyle w:val="Heading3"/>
        <w:numPr>
          <w:ilvl w:val="0"/>
          <w:numId w:val="35"/>
        </w:numPr>
        <w:spacing w:line="240" w:lineRule="auto"/>
        <w:rPr>
          <w:b/>
          <w:bCs/>
        </w:rPr>
      </w:pPr>
      <w:bookmarkStart w:id="56" w:name="_Toc229320730"/>
      <w:r>
        <w:rPr>
          <w:b/>
          <w:bCs/>
        </w:rPr>
        <w:t>0.4 The Commercial Matrix: Segmentation &amp; Lifecycle Phasing</w:t>
      </w:r>
      <w:bookmarkEnd w:id="56"/>
    </w:p>
    <w:p w14:paraId="15AF0373" w14:textId="77777777" w:rsidR="00E44DE0" w:rsidRDefault="00000000">
      <w:r>
        <w:rPr>
          <w:b/>
          <w:bCs/>
        </w:rPr>
        <w:br/>
      </w:r>
      <w:r>
        <w:rPr>
          <w:i/>
          <w:iCs/>
        </w:rPr>
        <w:t>Objective:</w:t>
      </w:r>
      <w:r>
        <w:t xml:space="preserve"> </w:t>
      </w:r>
      <w:r>
        <w:br/>
        <w:t>To systematically divide the enormous commercial universe surrounding a residential asset into manageable, monetizable slices, allowing the Clearinghouse to target and price data based on the specific financial leverage it provides to discrete institutional actors.</w:t>
      </w:r>
      <w:r>
        <w:br/>
        <w:t xml:space="preserve">To effectively monetize the forty-seven trillion dollar residential asset class, the Clearinghouse </w:t>
      </w:r>
      <w:r>
        <w:lastRenderedPageBreak/>
        <w:t>organizes the market into a two-dimensional matrix consisting of six Customer Segments and a 10-Phase Lifecycle.</w:t>
      </w:r>
      <w:r>
        <w:rPr>
          <w:b/>
          <w:bCs/>
        </w:rPr>
        <w:br/>
      </w:r>
      <w:r>
        <w:rPr>
          <w:b/>
          <w:bCs/>
        </w:rPr>
        <w:br/>
      </w:r>
      <w:r>
        <w:rPr>
          <w:i/>
          <w:iCs/>
        </w:rPr>
        <w:t>The Customer Segments:</w:t>
      </w:r>
      <w:r>
        <w:t xml:space="preserve"> </w:t>
      </w:r>
      <w:r>
        <w:br/>
        <w:t>Potential data consumers are sorted into six mutually exclusive segments (e.g., Lenders, Insurers, Builders, OEMs, Professional Trades, and Regulators). While these six classifications may not cover the entire commercial waterfront just yet, they isolate the primary institutional actors. This structural isolation ensures that AIVU's data products can be heavily tailored to address discrete, non-overlapping institutional mandates.</w:t>
      </w:r>
      <w:r>
        <w:rPr>
          <w:b/>
          <w:bCs/>
        </w:rPr>
        <w:br/>
      </w:r>
      <w:r>
        <w:rPr>
          <w:b/>
          <w:bCs/>
        </w:rPr>
        <w:br/>
      </w:r>
      <w:r>
        <w:rPr>
          <w:i/>
          <w:iCs/>
        </w:rPr>
        <w:t>The 10-Phase Lifecycle:</w:t>
      </w:r>
      <w:r>
        <w:t xml:space="preserve"> </w:t>
      </w:r>
      <w:r>
        <w:br/>
        <w:t xml:space="preserve">Concurrently, the lifespan of the physical home is divided into ten arbitrarily defined, sequential phases. These range from initial architectural planning and construction to ongoing operations and eventual resale. Crucially, phases can repeat; when a home is sold to a new owner, the transaction triggers a cyclical recurrence of financing, insurance underwriting, and commissioning phases. Because different commercial transactions take place between changing parties as the asset moves from one phase to the next, this temporal slicing allows the Clearinghouse to pinpoint exactly </w:t>
      </w:r>
      <w:r>
        <w:rPr>
          <w:i/>
          <w:iCs/>
        </w:rPr>
        <w:t>when</w:t>
      </w:r>
      <w:r>
        <w:t xml:space="preserve"> verifiable performance data is required, and by </w:t>
      </w:r>
      <w:r>
        <w:rPr>
          <w:i/>
          <w:iCs/>
        </w:rPr>
        <w:t>whom</w:t>
      </w:r>
      <w:r>
        <w:t>.</w:t>
      </w:r>
      <w:r>
        <w:rPr>
          <w:b/>
          <w:bCs/>
        </w:rPr>
        <w:br/>
      </w:r>
      <w:r>
        <w:rPr>
          <w:b/>
          <w:bCs/>
        </w:rPr>
        <w:br/>
      </w:r>
      <w:r>
        <w:rPr>
          <w:i/>
          <w:iCs/>
        </w:rPr>
        <w:t xml:space="preserve">The Monetization Logic (The "Before vs. After" Delta): </w:t>
      </w:r>
      <w:r>
        <w:br/>
        <w:t>The primary intention of mapping these 10 phases and six segments is to investigate the exact extent to which each participant's business model benefits from AIVU’s verified transparency. By isolating these manageable slices, AIVU can rigorously contrast a segment's financial efficiency under the legacy "blind faith" model against their optimized operations after integrating AIVU’s market intelligence. We quantify this exact economic delta—the "Before AIVU" versus "After AIVU" reality —such as the recovery of trapped warranty reserves or the elimination of diagnostic truck-roll waste. Because AIVU provides a continuously updated stream of truth rather than a static snapshot, it would be a strategic failure not to price our data accordingly. The Clearinghouse anchors its licensing algorithms directly to the recurring financial value it extracts for each specific segment during each specific phase.</w:t>
      </w:r>
    </w:p>
    <w:p w14:paraId="76241263" w14:textId="77777777" w:rsidR="00E44DE0" w:rsidRDefault="00E44DE0">
      <w:pPr>
        <w:rPr>
          <w:b/>
          <w:bCs/>
          <w:sz w:val="28"/>
          <w:szCs w:val="28"/>
        </w:rPr>
      </w:pPr>
    </w:p>
    <w:p w14:paraId="60E26855" w14:textId="77777777" w:rsidR="00E44DE0" w:rsidRDefault="00000000">
      <w:pPr>
        <w:pStyle w:val="Heading2"/>
        <w:rPr>
          <w:b/>
          <w:bCs/>
          <w:sz w:val="28"/>
          <w:szCs w:val="28"/>
        </w:rPr>
      </w:pPr>
      <w:bookmarkStart w:id="57" w:name="_Toc229320731"/>
      <w:r>
        <w:rPr>
          <w:b/>
          <w:bCs/>
          <w:sz w:val="28"/>
          <w:szCs w:val="28"/>
        </w:rPr>
        <w:t>1. The Product Refinery</w:t>
      </w:r>
      <w:bookmarkEnd w:id="57"/>
    </w:p>
    <w:p w14:paraId="68C97532" w14:textId="77777777" w:rsidR="00E44DE0" w:rsidRDefault="00000000">
      <w:pPr>
        <w:pStyle w:val="Heading3"/>
        <w:rPr>
          <w:b/>
          <w:bCs/>
        </w:rPr>
      </w:pPr>
      <w:r>
        <w:rPr>
          <w:b/>
          <w:bCs/>
        </w:rPr>
        <w:t>1.1: The Adjudication Engine (The "Truth" Separator)</w:t>
      </w:r>
    </w:p>
    <w:p w14:paraId="13A1E3B9" w14:textId="77777777" w:rsidR="00E44DE0" w:rsidRDefault="00000000">
      <w:r>
        <w:rPr>
          <w:b/>
          <w:bCs/>
        </w:rPr>
        <w:t>Objective:</w:t>
      </w:r>
      <w:r>
        <w:t xml:space="preserve"> To distinguish between intentional human behavioral "noise" and objective physical system performance to produce records admissible for legal, financial, and regulatory underwriting.</w:t>
      </w:r>
    </w:p>
    <w:p w14:paraId="44A9DA8B" w14:textId="77777777" w:rsidR="00E44DE0" w:rsidRDefault="00000000">
      <w:pPr>
        <w:pStyle w:val="Heading4"/>
        <w:spacing w:line="240" w:lineRule="auto"/>
        <w:rPr>
          <w:b/>
          <w:bCs/>
        </w:rPr>
      </w:pPr>
      <w:r>
        <w:rPr>
          <w:b/>
          <w:bCs/>
        </w:rPr>
        <w:lastRenderedPageBreak/>
        <w:t>1.1.1 Behavioral Load Isolation &amp; Vector Subtraction</w:t>
      </w:r>
    </w:p>
    <w:p w14:paraId="4331D206" w14:textId="77777777" w:rsidR="00E44DE0" w:rsidRDefault="00000000">
      <w:pPr>
        <w:numPr>
          <w:ilvl w:val="0"/>
          <w:numId w:val="26"/>
        </w:numPr>
        <w:spacing w:line="240" w:lineRule="auto"/>
      </w:pPr>
      <w:r>
        <w:rPr>
          <w:b/>
          <w:bCs/>
        </w:rPr>
        <w:t>Input:</w:t>
      </w:r>
    </w:p>
    <w:p w14:paraId="69530D9D" w14:textId="77777777" w:rsidR="00E44DE0" w:rsidRDefault="00000000">
      <w:pPr>
        <w:numPr>
          <w:ilvl w:val="1"/>
          <w:numId w:val="26"/>
        </w:numPr>
        <w:spacing w:line="240" w:lineRule="auto"/>
      </w:pPr>
      <w:r>
        <w:t xml:space="preserve">1Hz circuit-level power signatures from </w:t>
      </w:r>
      <w:r>
        <w:rPr>
          <w:b/>
          <w:bCs/>
        </w:rPr>
        <w:t>Eaton Smart Breakers</w:t>
      </w:r>
      <w:r>
        <w:t xml:space="preserve"> (identifying lighting, appliances, and internal loads).</w:t>
      </w:r>
    </w:p>
    <w:p w14:paraId="323E2D48" w14:textId="77777777" w:rsidR="00E44DE0" w:rsidRDefault="00000000">
      <w:pPr>
        <w:numPr>
          <w:ilvl w:val="1"/>
          <w:numId w:val="26"/>
        </w:numPr>
        <w:spacing w:line="240" w:lineRule="auto"/>
      </w:pPr>
      <w:r>
        <w:t>Real-time thermal work (BTU capacity) measured by the HVAC system.</w:t>
      </w:r>
    </w:p>
    <w:p w14:paraId="165BF68E" w14:textId="77777777" w:rsidR="00E44DE0" w:rsidRDefault="00000000">
      <w:pPr>
        <w:numPr>
          <w:ilvl w:val="1"/>
          <w:numId w:val="26"/>
        </w:numPr>
        <w:spacing w:line="240" w:lineRule="auto"/>
      </w:pPr>
      <w:r>
        <w:t>Occupant radar-detected occupancy levels.</w:t>
      </w:r>
    </w:p>
    <w:p w14:paraId="610E5F6E" w14:textId="77777777" w:rsidR="00E44DE0" w:rsidRDefault="00000000">
      <w:pPr>
        <w:numPr>
          <w:ilvl w:val="0"/>
          <w:numId w:val="26"/>
        </w:numPr>
        <w:spacing w:line="240" w:lineRule="auto"/>
      </w:pPr>
      <w:r>
        <w:rPr>
          <w:b/>
          <w:bCs/>
        </w:rPr>
        <w:t>Process:</w:t>
      </w:r>
    </w:p>
    <w:p w14:paraId="7F6FE17D" w14:textId="77777777" w:rsidR="00E44DE0" w:rsidRDefault="00000000">
      <w:pPr>
        <w:numPr>
          <w:ilvl w:val="1"/>
          <w:numId w:val="26"/>
        </w:numPr>
        <w:spacing w:line="240" w:lineRule="auto"/>
      </w:pPr>
      <w:r>
        <w:rPr>
          <w:b/>
          <w:bCs/>
        </w:rPr>
        <w:t>Vector Subtraction:</w:t>
      </w:r>
      <w:r>
        <w:t xml:space="preserve"> The engine performs a real-time subtraction of the "Behavioral Heat Load" (waste heat generated by electrical appliances, electronics and occupants) from the total thermal load managed by the HVAC.</w:t>
      </w:r>
    </w:p>
    <w:p w14:paraId="022A7326" w14:textId="77777777" w:rsidR="00E44DE0" w:rsidRDefault="00000000">
      <w:pPr>
        <w:numPr>
          <w:ilvl w:val="1"/>
          <w:numId w:val="26"/>
        </w:numPr>
        <w:spacing w:line="240" w:lineRule="auto"/>
      </w:pPr>
      <w:r>
        <w:rPr>
          <w:b/>
          <w:bCs/>
        </w:rPr>
        <w:t>Thermodynamic Balancing:</w:t>
      </w:r>
      <w:r>
        <w:t xml:space="preserve"> Verifying that the internal load data aligns with the </w:t>
      </w:r>
      <w:r>
        <w:rPr>
          <w:b/>
          <w:bCs/>
        </w:rPr>
        <w:t>First Law of Thermodynamics</w:t>
      </w:r>
      <w:r>
        <w:t xml:space="preserve"> </w:t>
      </w:r>
      <w:r>
        <w:br/>
      </w:r>
      <w:proofErr w:type="spellStart"/>
      <w:r>
        <w:rPr>
          <w:i/>
          <w:iCs/>
        </w:rPr>
        <w:t>Energy_In</w:t>
      </w:r>
      <w:proofErr w:type="spellEnd"/>
      <w:r>
        <w:rPr>
          <w:i/>
          <w:iCs/>
        </w:rPr>
        <w:t xml:space="preserve"> = </w:t>
      </w:r>
      <w:proofErr w:type="spellStart"/>
      <w:r>
        <w:rPr>
          <w:i/>
          <w:iCs/>
        </w:rPr>
        <w:t>Work_Done</w:t>
      </w:r>
      <w:proofErr w:type="spellEnd"/>
      <w:r>
        <w:rPr>
          <w:i/>
          <w:iCs/>
        </w:rPr>
        <w:t xml:space="preserve"> + </w:t>
      </w:r>
      <w:proofErr w:type="spellStart"/>
      <w:r>
        <w:rPr>
          <w:i/>
          <w:iCs/>
        </w:rPr>
        <w:t>Heat_Removed</w:t>
      </w:r>
      <w:proofErr w:type="spellEnd"/>
      <w:r>
        <w:br/>
        <w:t xml:space="preserve"> to ensure no "unmeasured" heat sources are contaminating the shell performance metrics.</w:t>
      </w:r>
    </w:p>
    <w:p w14:paraId="31901A26" w14:textId="77777777" w:rsidR="00E44DE0" w:rsidRDefault="00000000">
      <w:pPr>
        <w:numPr>
          <w:ilvl w:val="0"/>
          <w:numId w:val="26"/>
        </w:numPr>
        <w:spacing w:line="240" w:lineRule="auto"/>
      </w:pPr>
      <w:r>
        <w:rPr>
          <w:b/>
          <w:bCs/>
        </w:rPr>
        <w:t>Output:</w:t>
      </w:r>
    </w:p>
    <w:p w14:paraId="0047F722" w14:textId="77777777" w:rsidR="00E44DE0" w:rsidRDefault="00000000">
      <w:pPr>
        <w:numPr>
          <w:ilvl w:val="1"/>
          <w:numId w:val="26"/>
        </w:numPr>
        <w:spacing w:line="240" w:lineRule="auto"/>
      </w:pPr>
      <w:r>
        <w:rPr>
          <w:b/>
          <w:bCs/>
        </w:rPr>
        <w:t>The Behavioral Noise Delta:</w:t>
      </w:r>
      <w:r>
        <w:t xml:space="preserve"> </w:t>
      </w:r>
      <w:proofErr w:type="gramStart"/>
      <w:r>
        <w:t>A</w:t>
      </w:r>
      <w:proofErr w:type="gramEnd"/>
      <w:r>
        <w:t xml:space="preserve"> isolated data stream representing the occupant's thermal footprint.</w:t>
      </w:r>
    </w:p>
    <w:p w14:paraId="63E076DE" w14:textId="77777777" w:rsidR="00E44DE0" w:rsidRDefault="00000000">
      <w:pPr>
        <w:numPr>
          <w:ilvl w:val="1"/>
          <w:numId w:val="26"/>
        </w:numPr>
        <w:spacing w:line="240" w:lineRule="auto"/>
      </w:pPr>
      <w:r>
        <w:rPr>
          <w:b/>
          <w:bCs/>
        </w:rPr>
        <w:t>Refined Net Thermal Load:</w:t>
      </w:r>
      <w:r>
        <w:t xml:space="preserve"> The remaining thermal demand attributable solely to the building envelope and outside weather.</w:t>
      </w:r>
    </w:p>
    <w:p w14:paraId="353D003C" w14:textId="77777777" w:rsidR="00E44DE0" w:rsidRDefault="00000000">
      <w:pPr>
        <w:pStyle w:val="Heading4"/>
        <w:spacing w:line="240" w:lineRule="auto"/>
        <w:rPr>
          <w:b/>
          <w:bCs/>
        </w:rPr>
      </w:pPr>
      <w:r>
        <w:rPr>
          <w:b/>
          <w:bCs/>
        </w:rPr>
        <w:t>1.1.2 Intent Adjudication &amp; Choice vs. Failure Logic</w:t>
      </w:r>
    </w:p>
    <w:p w14:paraId="003EE102" w14:textId="77777777" w:rsidR="00E44DE0" w:rsidRDefault="00000000">
      <w:pPr>
        <w:numPr>
          <w:ilvl w:val="0"/>
          <w:numId w:val="27"/>
        </w:numPr>
        <w:spacing w:line="240" w:lineRule="auto"/>
      </w:pPr>
      <w:r>
        <w:rPr>
          <w:b/>
          <w:bCs/>
        </w:rPr>
        <w:t>Input:</w:t>
      </w:r>
    </w:p>
    <w:p w14:paraId="074AA9BA" w14:textId="77777777" w:rsidR="00E44DE0" w:rsidRDefault="00000000">
      <w:pPr>
        <w:numPr>
          <w:ilvl w:val="1"/>
          <w:numId w:val="27"/>
        </w:numPr>
        <w:spacing w:line="240" w:lineRule="auto"/>
      </w:pPr>
      <w:r>
        <w:t xml:space="preserve">Time-stamped history of </w:t>
      </w:r>
      <w:r>
        <w:rPr>
          <w:b/>
          <w:bCs/>
        </w:rPr>
        <w:t>"frequent thermostat adjustments"</w:t>
      </w:r>
      <w:r>
        <w:t xml:space="preserve"> (setpoint piddling).</w:t>
      </w:r>
    </w:p>
    <w:p w14:paraId="565DE730" w14:textId="77777777" w:rsidR="00E44DE0" w:rsidRDefault="00000000">
      <w:pPr>
        <w:numPr>
          <w:ilvl w:val="1"/>
          <w:numId w:val="27"/>
        </w:numPr>
        <w:spacing w:line="240" w:lineRule="auto"/>
      </w:pPr>
      <w:r>
        <w:t xml:space="preserve">Pre-defined </w:t>
      </w:r>
      <w:r>
        <w:rPr>
          <w:b/>
          <w:bCs/>
        </w:rPr>
        <w:t>Economic Guardrails</w:t>
      </w:r>
      <w:r>
        <w:t xml:space="preserve"> and comfort-elasticity scores provided by the occupant.</w:t>
      </w:r>
    </w:p>
    <w:p w14:paraId="6B7B0181" w14:textId="77777777" w:rsidR="00E44DE0" w:rsidRDefault="00000000">
      <w:pPr>
        <w:numPr>
          <w:ilvl w:val="1"/>
          <w:numId w:val="27"/>
        </w:numPr>
        <w:spacing w:line="240" w:lineRule="auto"/>
      </w:pPr>
      <w:r>
        <w:t xml:space="preserve">The </w:t>
      </w:r>
      <w:r>
        <w:rPr>
          <w:b/>
          <w:bCs/>
        </w:rPr>
        <w:t>"Digital DNA"</w:t>
      </w:r>
      <w:r>
        <w:t xml:space="preserve"> baseline (the theoretical "Master Reference Model").</w:t>
      </w:r>
    </w:p>
    <w:p w14:paraId="68F5A40D" w14:textId="77777777" w:rsidR="00E44DE0" w:rsidRDefault="00000000">
      <w:pPr>
        <w:numPr>
          <w:ilvl w:val="0"/>
          <w:numId w:val="27"/>
        </w:numPr>
        <w:spacing w:line="240" w:lineRule="auto"/>
      </w:pPr>
      <w:r>
        <w:rPr>
          <w:b/>
          <w:bCs/>
        </w:rPr>
        <w:t>Process:</w:t>
      </w:r>
    </w:p>
    <w:p w14:paraId="32A38008" w14:textId="77777777" w:rsidR="00E44DE0" w:rsidRDefault="00000000">
      <w:pPr>
        <w:numPr>
          <w:ilvl w:val="1"/>
          <w:numId w:val="27"/>
        </w:numPr>
        <w:spacing w:line="240" w:lineRule="auto"/>
      </w:pPr>
      <w:r>
        <w:rPr>
          <w:b/>
          <w:bCs/>
        </w:rPr>
        <w:t>Choice Correlation:</w:t>
      </w:r>
      <w:r>
        <w:t xml:space="preserve"> If a performance delta occurs (e.g., higher indoor temperature in summer), the engine correlates this against setpoint history and economic guardrails.</w:t>
      </w:r>
    </w:p>
    <w:p w14:paraId="45738FAB" w14:textId="77777777" w:rsidR="00E44DE0" w:rsidRDefault="00000000">
      <w:pPr>
        <w:numPr>
          <w:ilvl w:val="1"/>
          <w:numId w:val="27"/>
        </w:numPr>
        <w:spacing w:line="240" w:lineRule="auto"/>
      </w:pPr>
      <w:r>
        <w:rPr>
          <w:b/>
          <w:bCs/>
        </w:rPr>
        <w:t>Failure Differentiation:</w:t>
      </w:r>
      <w:r>
        <w:t xml:space="preserve"> If the delta occurs while the system is under "Automatic Control" (no user override) and setpoints are maintained, the engine flags a </w:t>
      </w:r>
      <w:r>
        <w:rPr>
          <w:b/>
          <w:bCs/>
        </w:rPr>
        <w:t>Structural Failure</w:t>
      </w:r>
      <w:r>
        <w:t xml:space="preserve"> (e.g., insulation degradation) rather than an </w:t>
      </w:r>
      <w:r>
        <w:rPr>
          <w:b/>
          <w:bCs/>
        </w:rPr>
        <w:t>Occupant Choice</w:t>
      </w:r>
      <w:r>
        <w:t>.</w:t>
      </w:r>
    </w:p>
    <w:p w14:paraId="7D5B6803" w14:textId="77777777" w:rsidR="00E44DE0" w:rsidRDefault="00000000">
      <w:pPr>
        <w:numPr>
          <w:ilvl w:val="0"/>
          <w:numId w:val="27"/>
        </w:numPr>
        <w:spacing w:line="240" w:lineRule="auto"/>
      </w:pPr>
      <w:r>
        <w:rPr>
          <w:b/>
          <w:bCs/>
        </w:rPr>
        <w:t>Output:</w:t>
      </w:r>
    </w:p>
    <w:p w14:paraId="36B23393" w14:textId="77777777" w:rsidR="00E44DE0" w:rsidRDefault="00000000">
      <w:pPr>
        <w:numPr>
          <w:ilvl w:val="1"/>
          <w:numId w:val="27"/>
        </w:numPr>
        <w:spacing w:line="240" w:lineRule="auto"/>
      </w:pPr>
      <w:r>
        <w:rPr>
          <w:b/>
          <w:bCs/>
        </w:rPr>
        <w:t>Normalized Physics Feed:</w:t>
      </w:r>
      <w:r>
        <w:t xml:space="preserve"> An objective record of how the home </w:t>
      </w:r>
      <w:proofErr w:type="gramStart"/>
      <w:r>
        <w:rPr>
          <w:i/>
          <w:iCs/>
        </w:rPr>
        <w:t>actually</w:t>
      </w:r>
      <w:r>
        <w:t xml:space="preserve"> performed</w:t>
      </w:r>
      <w:proofErr w:type="gramEnd"/>
      <w:r>
        <w:t>, independent of how the occupant chose to use it.</w:t>
      </w:r>
    </w:p>
    <w:p w14:paraId="6D716B3C" w14:textId="77777777" w:rsidR="00E44DE0" w:rsidRDefault="00000000">
      <w:pPr>
        <w:numPr>
          <w:ilvl w:val="1"/>
          <w:numId w:val="27"/>
        </w:numPr>
        <w:spacing w:line="240" w:lineRule="auto"/>
      </w:pPr>
      <w:r>
        <w:rPr>
          <w:b/>
          <w:bCs/>
        </w:rPr>
        <w:lastRenderedPageBreak/>
        <w:t>Occupant Motivation Score:</w:t>
      </w:r>
      <w:r>
        <w:t xml:space="preserve"> A metric for Segment 1 (Lenders) to determine if a borrower is "gaming" the system to lower utility bills at the cost of asset health.</w:t>
      </w:r>
    </w:p>
    <w:p w14:paraId="332BDF06" w14:textId="77777777" w:rsidR="00E44DE0" w:rsidRDefault="00000000">
      <w:pPr>
        <w:pStyle w:val="Heading4"/>
        <w:spacing w:line="240" w:lineRule="auto"/>
        <w:rPr>
          <w:b/>
          <w:bCs/>
        </w:rPr>
      </w:pPr>
      <w:r>
        <w:rPr>
          <w:b/>
          <w:bCs/>
        </w:rPr>
        <w:t>1.1.3 The Admissibility Feed</w:t>
      </w:r>
    </w:p>
    <w:p w14:paraId="3517B72E" w14:textId="77777777" w:rsidR="00E44DE0" w:rsidRDefault="00000000">
      <w:pPr>
        <w:numPr>
          <w:ilvl w:val="0"/>
          <w:numId w:val="28"/>
        </w:numPr>
        <w:spacing w:line="240" w:lineRule="auto"/>
      </w:pPr>
      <w:r>
        <w:rPr>
          <w:b/>
          <w:bCs/>
        </w:rPr>
        <w:t>Input:</w:t>
      </w:r>
    </w:p>
    <w:p w14:paraId="69DB3CEB" w14:textId="77777777" w:rsidR="00E44DE0" w:rsidRDefault="00000000">
      <w:pPr>
        <w:numPr>
          <w:ilvl w:val="1"/>
          <w:numId w:val="28"/>
        </w:numPr>
        <w:spacing w:line="240" w:lineRule="auto"/>
      </w:pPr>
      <w:r>
        <w:t>The Normalized Physics Feed.</w:t>
      </w:r>
    </w:p>
    <w:p w14:paraId="1ABD0214" w14:textId="77777777" w:rsidR="00E44DE0" w:rsidRDefault="00000000">
      <w:pPr>
        <w:numPr>
          <w:ilvl w:val="1"/>
          <w:numId w:val="28"/>
        </w:numPr>
        <w:spacing w:line="240" w:lineRule="auto"/>
      </w:pPr>
      <w:r>
        <w:t>Cryptographic hash of the raw 1Hz telemetry.</w:t>
      </w:r>
    </w:p>
    <w:p w14:paraId="600572A9" w14:textId="77777777" w:rsidR="00E44DE0" w:rsidRDefault="00000000">
      <w:pPr>
        <w:numPr>
          <w:ilvl w:val="0"/>
          <w:numId w:val="28"/>
        </w:numPr>
        <w:spacing w:line="240" w:lineRule="auto"/>
      </w:pPr>
      <w:r>
        <w:rPr>
          <w:b/>
          <w:bCs/>
        </w:rPr>
        <w:t>Process:</w:t>
      </w:r>
    </w:p>
    <w:p w14:paraId="4C0C9C7A" w14:textId="77777777" w:rsidR="00E44DE0" w:rsidRDefault="00000000">
      <w:pPr>
        <w:numPr>
          <w:ilvl w:val="1"/>
          <w:numId w:val="28"/>
        </w:numPr>
        <w:spacing w:line="240" w:lineRule="auto"/>
      </w:pPr>
      <w:r>
        <w:rPr>
          <w:b/>
          <w:bCs/>
        </w:rPr>
        <w:t>Certification Wrapping:</w:t>
      </w:r>
      <w:r>
        <w:t xml:space="preserve"> The adjudicated data is wrapped in a </w:t>
      </w:r>
      <w:r>
        <w:rPr>
          <w:b/>
          <w:bCs/>
        </w:rPr>
        <w:t>Certifiable Audit Trail</w:t>
      </w:r>
      <w:r>
        <w:t xml:space="preserve"> that documents the path from the physical Venturi sensor to the final refined metric.</w:t>
      </w:r>
    </w:p>
    <w:p w14:paraId="1ADBE16B" w14:textId="77777777" w:rsidR="00E44DE0" w:rsidRDefault="00000000">
      <w:pPr>
        <w:numPr>
          <w:ilvl w:val="0"/>
          <w:numId w:val="28"/>
        </w:numPr>
        <w:spacing w:line="240" w:lineRule="auto"/>
      </w:pPr>
      <w:r>
        <w:rPr>
          <w:b/>
          <w:bCs/>
        </w:rPr>
        <w:t>Output:</w:t>
      </w:r>
    </w:p>
    <w:p w14:paraId="00638B55" w14:textId="77777777" w:rsidR="00E44DE0" w:rsidRDefault="00000000">
      <w:pPr>
        <w:numPr>
          <w:ilvl w:val="1"/>
          <w:numId w:val="28"/>
        </w:numPr>
        <w:spacing w:line="240" w:lineRule="auto"/>
      </w:pPr>
      <w:r>
        <w:rPr>
          <w:b/>
          <w:bCs/>
        </w:rPr>
        <w:t>Financial-Grade Evidence:</w:t>
      </w:r>
      <w:r>
        <w:t xml:space="preserve"> Data payloads ready for Segment 2 (Insurers/Legal) to defend against "construction defect" or "high indoor humidity" claims.</w:t>
      </w:r>
    </w:p>
    <w:p w14:paraId="05E4FDF8" w14:textId="77777777" w:rsidR="00E44DE0" w:rsidRDefault="00E44DE0"/>
    <w:p w14:paraId="3CEFCE84" w14:textId="77777777" w:rsidR="00E44DE0" w:rsidRDefault="00000000">
      <w:pPr>
        <w:pStyle w:val="Heading3"/>
        <w:rPr>
          <w:b/>
          <w:bCs/>
        </w:rPr>
      </w:pPr>
      <w:r>
        <w:rPr>
          <w:b/>
          <w:bCs/>
        </w:rPr>
        <w:t>1.2: The Integrity Layer (The Physics Lie Detector)</w:t>
      </w:r>
    </w:p>
    <w:p w14:paraId="56D26160" w14:textId="77777777" w:rsidR="00E44DE0" w:rsidRDefault="00000000">
      <w:pPr>
        <w:spacing w:line="240" w:lineRule="auto"/>
      </w:pPr>
      <w:r>
        <w:rPr>
          <w:b/>
          <w:bCs/>
        </w:rPr>
        <w:t>Objective:</w:t>
      </w:r>
      <w:r>
        <w:t xml:space="preserve"> To enforce absolute thermodynamic and statistical consistency across the distributed network, identifying sensor manipulation, vendor fraud, or installation defects that deviate from the "Master Reference Model".</w:t>
      </w:r>
    </w:p>
    <w:p w14:paraId="5FEE7524" w14:textId="77777777" w:rsidR="00E44DE0" w:rsidRDefault="00000000">
      <w:pPr>
        <w:pStyle w:val="Heading4"/>
        <w:spacing w:line="240" w:lineRule="auto"/>
        <w:rPr>
          <w:b/>
          <w:bCs/>
        </w:rPr>
      </w:pPr>
      <w:r>
        <w:rPr>
          <w:b/>
          <w:bCs/>
        </w:rPr>
        <w:t>1.2.1 First Law Enforcement (The Thermodynamic Guardrail)</w:t>
      </w:r>
    </w:p>
    <w:p w14:paraId="5A10DB0A" w14:textId="77777777" w:rsidR="00E44DE0" w:rsidRDefault="00000000">
      <w:pPr>
        <w:numPr>
          <w:ilvl w:val="0"/>
          <w:numId w:val="29"/>
        </w:numPr>
        <w:spacing w:line="240" w:lineRule="auto"/>
      </w:pPr>
      <w:r>
        <w:rPr>
          <w:b/>
          <w:bCs/>
        </w:rPr>
        <w:t>Input:</w:t>
      </w:r>
    </w:p>
    <w:p w14:paraId="53AFFD3A" w14:textId="77777777" w:rsidR="00E44DE0" w:rsidRDefault="00000000">
      <w:pPr>
        <w:numPr>
          <w:ilvl w:val="1"/>
          <w:numId w:val="29"/>
        </w:numPr>
        <w:spacing w:line="240" w:lineRule="auto"/>
      </w:pPr>
      <w:r>
        <w:t>1Hz data packets containing total energy consumption (</w:t>
      </w:r>
      <w:proofErr w:type="spellStart"/>
      <w:r>
        <w:t>Energy_In</w:t>
      </w:r>
      <w:proofErr w:type="spellEnd"/>
      <w:r>
        <w:t xml:space="preserve">) from </w:t>
      </w:r>
      <w:r>
        <w:rPr>
          <w:b/>
          <w:bCs/>
        </w:rPr>
        <w:t>Eaton Smart Breakers</w:t>
      </w:r>
      <w:r>
        <w:t>.</w:t>
      </w:r>
    </w:p>
    <w:p w14:paraId="219277CF" w14:textId="77777777" w:rsidR="00E44DE0" w:rsidRDefault="00000000">
      <w:pPr>
        <w:numPr>
          <w:ilvl w:val="1"/>
          <w:numId w:val="29"/>
        </w:numPr>
        <w:spacing w:line="240" w:lineRule="auto"/>
      </w:pPr>
      <w:r>
        <w:t>Work performed data (</w:t>
      </w:r>
      <w:proofErr w:type="spellStart"/>
      <w:r>
        <w:t>Work_Done</w:t>
      </w:r>
      <w:proofErr w:type="spellEnd"/>
      <w:r>
        <w:t xml:space="preserve">) including mass airflow and enthalpy measurements from the </w:t>
      </w:r>
      <w:r>
        <w:rPr>
          <w:b/>
          <w:bCs/>
        </w:rPr>
        <w:t>Venturi sensors</w:t>
      </w:r>
      <w:r>
        <w:t>.</w:t>
      </w:r>
    </w:p>
    <w:p w14:paraId="0B0AFC98" w14:textId="77777777" w:rsidR="00E44DE0" w:rsidRDefault="00000000">
      <w:pPr>
        <w:numPr>
          <w:ilvl w:val="1"/>
          <w:numId w:val="29"/>
        </w:numPr>
        <w:spacing w:line="240" w:lineRule="auto"/>
      </w:pPr>
      <w:r>
        <w:t>Derived heat transfer data (</w:t>
      </w:r>
      <w:proofErr w:type="spellStart"/>
      <w:r>
        <w:t>Heat_Removed</w:t>
      </w:r>
      <w:proofErr w:type="spellEnd"/>
      <w:r>
        <w:t>) based on indoor/outdoor temperature deltas.</w:t>
      </w:r>
    </w:p>
    <w:p w14:paraId="3F891621" w14:textId="77777777" w:rsidR="00E44DE0" w:rsidRDefault="00000000">
      <w:pPr>
        <w:numPr>
          <w:ilvl w:val="0"/>
          <w:numId w:val="29"/>
        </w:numPr>
        <w:spacing w:line="240" w:lineRule="auto"/>
      </w:pPr>
      <w:r>
        <w:rPr>
          <w:b/>
          <w:bCs/>
        </w:rPr>
        <w:t>Process:</w:t>
      </w:r>
    </w:p>
    <w:p w14:paraId="0922D1B3" w14:textId="77777777" w:rsidR="00E44DE0" w:rsidRDefault="00000000">
      <w:pPr>
        <w:numPr>
          <w:ilvl w:val="1"/>
          <w:numId w:val="29"/>
        </w:numPr>
        <w:spacing w:line="240" w:lineRule="auto"/>
      </w:pPr>
      <w:r>
        <w:rPr>
          <w:b/>
          <w:bCs/>
        </w:rPr>
        <w:t>Conservation Check:</w:t>
      </w:r>
      <w:r>
        <w:t xml:space="preserve"> The engine continuously calculates the fundamental energy balance equation:</w:t>
      </w:r>
      <w:r>
        <w:br/>
      </w:r>
      <w:proofErr w:type="spellStart"/>
      <w:r>
        <w:rPr>
          <w:i/>
          <w:iCs/>
        </w:rPr>
        <w:t>Energy_In</w:t>
      </w:r>
      <w:proofErr w:type="spellEnd"/>
      <w:r>
        <w:rPr>
          <w:i/>
          <w:iCs/>
        </w:rPr>
        <w:t xml:space="preserve"> = </w:t>
      </w:r>
      <w:proofErr w:type="spellStart"/>
      <w:r>
        <w:rPr>
          <w:i/>
          <w:iCs/>
        </w:rPr>
        <w:t>Work_Done</w:t>
      </w:r>
      <w:proofErr w:type="spellEnd"/>
      <w:r>
        <w:rPr>
          <w:i/>
          <w:iCs/>
        </w:rPr>
        <w:t xml:space="preserve"> + </w:t>
      </w:r>
      <w:proofErr w:type="spellStart"/>
      <w:r>
        <w:rPr>
          <w:i/>
          <w:iCs/>
        </w:rPr>
        <w:t>Heat_Removed</w:t>
      </w:r>
      <w:proofErr w:type="spellEnd"/>
    </w:p>
    <w:p w14:paraId="17D36E1C" w14:textId="77777777" w:rsidR="00E44DE0" w:rsidRDefault="00000000">
      <w:pPr>
        <w:numPr>
          <w:ilvl w:val="1"/>
          <w:numId w:val="29"/>
        </w:numPr>
        <w:spacing w:line="240" w:lineRule="auto"/>
      </w:pPr>
      <w:r>
        <w:rPr>
          <w:b/>
          <w:bCs/>
        </w:rPr>
        <w:t>Entropy Violation Detection:</w:t>
      </w:r>
      <w:r>
        <w:t xml:space="preserve"> Identifying any instance where the work reported by the mechanical equipment exceeds the energy consumed or where thermal decay occurs without a corresponding energy signature.</w:t>
      </w:r>
    </w:p>
    <w:p w14:paraId="2533F6D9" w14:textId="77777777" w:rsidR="00E44DE0" w:rsidRDefault="00000000">
      <w:pPr>
        <w:numPr>
          <w:ilvl w:val="0"/>
          <w:numId w:val="29"/>
        </w:numPr>
        <w:spacing w:line="240" w:lineRule="auto"/>
      </w:pPr>
      <w:r>
        <w:rPr>
          <w:b/>
          <w:bCs/>
        </w:rPr>
        <w:t>Output:</w:t>
      </w:r>
    </w:p>
    <w:p w14:paraId="5591B208" w14:textId="77777777" w:rsidR="00E44DE0" w:rsidRDefault="00000000">
      <w:pPr>
        <w:numPr>
          <w:ilvl w:val="1"/>
          <w:numId w:val="29"/>
        </w:numPr>
        <w:spacing w:line="240" w:lineRule="auto"/>
      </w:pPr>
      <w:r>
        <w:rPr>
          <w:b/>
          <w:bCs/>
        </w:rPr>
        <w:lastRenderedPageBreak/>
        <w:t>Thermodynamic Integrity Score:</w:t>
      </w:r>
      <w:r>
        <w:t xml:space="preserve"> A per-packet verification flag indicating the data is physically possible.</w:t>
      </w:r>
    </w:p>
    <w:p w14:paraId="5167B685" w14:textId="77777777" w:rsidR="00E44DE0" w:rsidRDefault="00000000">
      <w:pPr>
        <w:numPr>
          <w:ilvl w:val="1"/>
          <w:numId w:val="29"/>
        </w:numPr>
        <w:spacing w:line="240" w:lineRule="auto"/>
      </w:pPr>
      <w:r>
        <w:rPr>
          <w:b/>
          <w:bCs/>
        </w:rPr>
        <w:t>Quarantine Trigger:</w:t>
      </w:r>
      <w:r>
        <w:t xml:space="preserve"> Automatic isolation of any asset where the energy balance fails for more than 30 consecutive minutes.</w:t>
      </w:r>
    </w:p>
    <w:p w14:paraId="12D1EF73" w14:textId="77777777" w:rsidR="00E44DE0" w:rsidRDefault="00000000">
      <w:pPr>
        <w:pStyle w:val="Heading4"/>
        <w:spacing w:line="240" w:lineRule="auto"/>
        <w:rPr>
          <w:b/>
          <w:bCs/>
        </w:rPr>
      </w:pPr>
      <w:r>
        <w:rPr>
          <w:b/>
          <w:bCs/>
        </w:rPr>
        <w:t>1.2.2 Vendor Fraud &amp; Sensor Manipulation Detection</w:t>
      </w:r>
    </w:p>
    <w:p w14:paraId="1ADBCE2B" w14:textId="77777777" w:rsidR="00E44DE0" w:rsidRDefault="00000000">
      <w:pPr>
        <w:numPr>
          <w:ilvl w:val="0"/>
          <w:numId w:val="30"/>
        </w:numPr>
        <w:spacing w:line="240" w:lineRule="auto"/>
      </w:pPr>
      <w:r>
        <w:rPr>
          <w:b/>
          <w:bCs/>
        </w:rPr>
        <w:t>Input:</w:t>
      </w:r>
    </w:p>
    <w:p w14:paraId="7D8114B8" w14:textId="77777777" w:rsidR="00E44DE0" w:rsidRDefault="00000000">
      <w:pPr>
        <w:numPr>
          <w:ilvl w:val="1"/>
          <w:numId w:val="30"/>
        </w:numPr>
        <w:spacing w:line="240" w:lineRule="auto"/>
      </w:pPr>
      <w:r>
        <w:t>Stored historical records of on-board equipment diagnostics (e.g., HVAC error codes or internal temperature readings).</w:t>
      </w:r>
    </w:p>
    <w:p w14:paraId="5C04D386" w14:textId="77777777" w:rsidR="00E44DE0" w:rsidRDefault="00000000">
      <w:pPr>
        <w:numPr>
          <w:ilvl w:val="1"/>
          <w:numId w:val="30"/>
        </w:numPr>
        <w:spacing w:line="240" w:lineRule="auto"/>
      </w:pPr>
      <w:r>
        <w:t xml:space="preserve">High-fidelity AIVU </w:t>
      </w:r>
      <w:r>
        <w:rPr>
          <w:b/>
          <w:bCs/>
        </w:rPr>
        <w:t>Venturi</w:t>
      </w:r>
      <w:r>
        <w:t xml:space="preserve"> telemetry.</w:t>
      </w:r>
    </w:p>
    <w:p w14:paraId="40339F1C" w14:textId="77777777" w:rsidR="00E44DE0" w:rsidRDefault="00000000">
      <w:pPr>
        <w:numPr>
          <w:ilvl w:val="0"/>
          <w:numId w:val="30"/>
        </w:numPr>
        <w:spacing w:line="240" w:lineRule="auto"/>
      </w:pPr>
      <w:r>
        <w:rPr>
          <w:b/>
          <w:bCs/>
        </w:rPr>
        <w:t>Process:</w:t>
      </w:r>
    </w:p>
    <w:p w14:paraId="176BD070" w14:textId="77777777" w:rsidR="00E44DE0" w:rsidRDefault="00000000">
      <w:pPr>
        <w:numPr>
          <w:ilvl w:val="1"/>
          <w:numId w:val="30"/>
        </w:numPr>
        <w:spacing w:line="240" w:lineRule="auto"/>
      </w:pPr>
      <w:r>
        <w:rPr>
          <w:b/>
          <w:bCs/>
        </w:rPr>
        <w:t>Cross-Correlation Analysis:</w:t>
      </w:r>
      <w:r>
        <w:t xml:space="preserve"> The refinery utilizes time-series analysis to cross-correlate the vendor’s internal diagnostic data against AIVU’s ground-truth physics.</w:t>
      </w:r>
    </w:p>
    <w:p w14:paraId="1E28154F" w14:textId="77777777" w:rsidR="00E44DE0" w:rsidRDefault="00000000">
      <w:pPr>
        <w:numPr>
          <w:ilvl w:val="1"/>
          <w:numId w:val="30"/>
        </w:numPr>
        <w:spacing w:line="240" w:lineRule="auto"/>
      </w:pPr>
      <w:r>
        <w:rPr>
          <w:b/>
          <w:bCs/>
        </w:rPr>
        <w:t>Pattern Matching:</w:t>
      </w:r>
      <w:r>
        <w:t xml:space="preserve"> Detecting signatures of "falsified readings," such as efficiency ratings that remain static during extreme weather events where physics dictates a performance drop.</w:t>
      </w:r>
    </w:p>
    <w:p w14:paraId="02C62928" w14:textId="77777777" w:rsidR="00E44DE0" w:rsidRDefault="00000000">
      <w:pPr>
        <w:numPr>
          <w:ilvl w:val="1"/>
          <w:numId w:val="30"/>
        </w:numPr>
        <w:spacing w:line="240" w:lineRule="auto"/>
      </w:pPr>
      <w:r>
        <w:rPr>
          <w:b/>
          <w:bCs/>
        </w:rPr>
        <w:t>Jumper/Bypass Detection:</w:t>
      </w:r>
      <w:r>
        <w:t xml:space="preserve"> Utilizing </w:t>
      </w:r>
      <w:r>
        <w:rPr>
          <w:b/>
          <w:bCs/>
        </w:rPr>
        <w:t>Matrix Slicing</w:t>
      </w:r>
      <w:r>
        <w:t xml:space="preserve"> to identify hard-wired "jumpers" or software overrides intended to hide low refrigerant charge or restricted airflow.</w:t>
      </w:r>
    </w:p>
    <w:p w14:paraId="07259284" w14:textId="77777777" w:rsidR="00E44DE0" w:rsidRDefault="00000000">
      <w:pPr>
        <w:numPr>
          <w:ilvl w:val="0"/>
          <w:numId w:val="30"/>
        </w:numPr>
        <w:spacing w:line="240" w:lineRule="auto"/>
      </w:pPr>
      <w:r>
        <w:rPr>
          <w:b/>
          <w:bCs/>
        </w:rPr>
        <w:t>Output:</w:t>
      </w:r>
    </w:p>
    <w:p w14:paraId="47728129" w14:textId="77777777" w:rsidR="00E44DE0" w:rsidRDefault="00000000">
      <w:pPr>
        <w:numPr>
          <w:ilvl w:val="1"/>
          <w:numId w:val="30"/>
        </w:numPr>
        <w:spacing w:line="240" w:lineRule="auto"/>
      </w:pPr>
      <w:r>
        <w:rPr>
          <w:b/>
          <w:bCs/>
        </w:rPr>
        <w:t>Vendor Integrity Report:</w:t>
      </w:r>
      <w:r>
        <w:t xml:space="preserve"> A verified log of equipment performance deltas compared to factory specifications.</w:t>
      </w:r>
    </w:p>
    <w:p w14:paraId="0ED1DD00" w14:textId="77777777" w:rsidR="00E44DE0" w:rsidRDefault="00000000">
      <w:pPr>
        <w:numPr>
          <w:ilvl w:val="1"/>
          <w:numId w:val="30"/>
        </w:numPr>
        <w:spacing w:line="240" w:lineRule="auto"/>
      </w:pPr>
      <w:r>
        <w:rPr>
          <w:b/>
          <w:bCs/>
        </w:rPr>
        <w:t>Fraud Alert:</w:t>
      </w:r>
      <w:r>
        <w:t xml:space="preserve"> Real-time notification to Segment 3 (Builders) and Segment 4 (OEMs) regarding specific hardware or installer manipulation.</w:t>
      </w:r>
    </w:p>
    <w:p w14:paraId="24180EC3" w14:textId="77777777" w:rsidR="00E44DE0" w:rsidRDefault="00E44DE0">
      <w:pPr>
        <w:spacing w:line="240" w:lineRule="auto"/>
        <w:rPr>
          <w:b/>
          <w:bCs/>
        </w:rPr>
      </w:pPr>
    </w:p>
    <w:p w14:paraId="49FB0670" w14:textId="77777777" w:rsidR="00E44DE0" w:rsidRDefault="00E44DE0">
      <w:pPr>
        <w:spacing w:line="240" w:lineRule="auto"/>
        <w:rPr>
          <w:b/>
          <w:bCs/>
        </w:rPr>
      </w:pPr>
    </w:p>
    <w:p w14:paraId="3E32C7FC" w14:textId="77777777" w:rsidR="00E44DE0" w:rsidRDefault="00000000">
      <w:pPr>
        <w:pStyle w:val="Heading4"/>
        <w:spacing w:line="240" w:lineRule="auto"/>
        <w:rPr>
          <w:b/>
          <w:bCs/>
        </w:rPr>
      </w:pPr>
      <w:r>
        <w:rPr>
          <w:b/>
          <w:bCs/>
        </w:rPr>
        <w:t>1.2.3  Five Sigma Statistical Quarantine &amp; Cohort Validation</w:t>
      </w:r>
    </w:p>
    <w:p w14:paraId="3D2EEB75" w14:textId="77777777" w:rsidR="00E44DE0" w:rsidRDefault="00000000">
      <w:pPr>
        <w:numPr>
          <w:ilvl w:val="0"/>
          <w:numId w:val="31"/>
        </w:numPr>
        <w:spacing w:line="240" w:lineRule="auto"/>
      </w:pPr>
      <w:r>
        <w:rPr>
          <w:b/>
          <w:bCs/>
        </w:rPr>
        <w:t>Input:</w:t>
      </w:r>
    </w:p>
    <w:p w14:paraId="4C0BCA55" w14:textId="77777777" w:rsidR="00E44DE0" w:rsidRDefault="00000000">
      <w:pPr>
        <w:numPr>
          <w:ilvl w:val="1"/>
          <w:numId w:val="31"/>
        </w:numPr>
        <w:spacing w:line="240" w:lineRule="auto"/>
      </w:pPr>
      <w:r>
        <w:t>Active data streams from a local N=90 cohort.</w:t>
      </w:r>
    </w:p>
    <w:p w14:paraId="7B5E0F1E" w14:textId="77777777" w:rsidR="00E44DE0" w:rsidRDefault="00000000">
      <w:pPr>
        <w:numPr>
          <w:ilvl w:val="1"/>
          <w:numId w:val="31"/>
        </w:numPr>
        <w:spacing w:line="240" w:lineRule="auto"/>
      </w:pPr>
      <w:r>
        <w:t xml:space="preserve">The </w:t>
      </w:r>
      <w:r>
        <w:rPr>
          <w:b/>
          <w:bCs/>
        </w:rPr>
        <w:t>Master Reference Model</w:t>
      </w:r>
      <w:r>
        <w:t xml:space="preserve"> baseline.</w:t>
      </w:r>
    </w:p>
    <w:p w14:paraId="6276F5D8" w14:textId="77777777" w:rsidR="00E44DE0" w:rsidRDefault="00000000">
      <w:pPr>
        <w:numPr>
          <w:ilvl w:val="0"/>
          <w:numId w:val="31"/>
        </w:numPr>
        <w:spacing w:line="240" w:lineRule="auto"/>
      </w:pPr>
      <w:r>
        <w:rPr>
          <w:b/>
          <w:bCs/>
        </w:rPr>
        <w:t>Process:</w:t>
      </w:r>
    </w:p>
    <w:p w14:paraId="08C25ABB" w14:textId="77777777" w:rsidR="00E44DE0" w:rsidRDefault="00000000">
      <w:pPr>
        <w:numPr>
          <w:ilvl w:val="1"/>
          <w:numId w:val="31"/>
        </w:numPr>
        <w:spacing w:line="240" w:lineRule="auto"/>
      </w:pPr>
      <w:r>
        <w:rPr>
          <w:b/>
          <w:bCs/>
        </w:rPr>
        <w:t>Outlier Identification:</w:t>
      </w:r>
      <w:r>
        <w:t xml:space="preserve"> Every 1Hz data stream is compared against the cohort average for its specific multi-dimensional taxonomy.</w:t>
      </w:r>
    </w:p>
    <w:p w14:paraId="231F63B2" w14:textId="77777777" w:rsidR="00E44DE0" w:rsidRDefault="00000000">
      <w:pPr>
        <w:numPr>
          <w:ilvl w:val="1"/>
          <w:numId w:val="31"/>
        </w:numPr>
        <w:spacing w:line="240" w:lineRule="auto"/>
      </w:pPr>
      <w:r>
        <w:rPr>
          <w:b/>
          <w:bCs/>
        </w:rPr>
        <w:t>Sigma Slicing:</w:t>
      </w:r>
      <w:r>
        <w:t xml:space="preserve"> Any stream deviating by more than five Sigma standard deviations from the cohort’s physical baseline is flagged.</w:t>
      </w:r>
    </w:p>
    <w:p w14:paraId="06405A24" w14:textId="77777777" w:rsidR="00E44DE0" w:rsidRDefault="00000000">
      <w:pPr>
        <w:numPr>
          <w:ilvl w:val="1"/>
          <w:numId w:val="31"/>
        </w:numPr>
        <w:spacing w:line="240" w:lineRule="auto"/>
      </w:pPr>
      <w:r>
        <w:rPr>
          <w:b/>
          <w:bCs/>
        </w:rPr>
        <w:lastRenderedPageBreak/>
        <w:t>Manual Truth Audit:</w:t>
      </w:r>
      <w:r>
        <w:t xml:space="preserve"> Flagged data is removed from the "Master Reference Model" calculation to prevent contamination of the aggregate truth.</w:t>
      </w:r>
    </w:p>
    <w:p w14:paraId="6DCECC93" w14:textId="77777777" w:rsidR="00E44DE0" w:rsidRDefault="00000000">
      <w:pPr>
        <w:numPr>
          <w:ilvl w:val="0"/>
          <w:numId w:val="31"/>
        </w:numPr>
        <w:spacing w:line="240" w:lineRule="auto"/>
      </w:pPr>
      <w:r>
        <w:rPr>
          <w:b/>
          <w:bCs/>
        </w:rPr>
        <w:t>Output:</w:t>
      </w:r>
    </w:p>
    <w:p w14:paraId="318B17C4" w14:textId="77777777" w:rsidR="00E44DE0" w:rsidRDefault="00000000">
      <w:pPr>
        <w:numPr>
          <w:ilvl w:val="1"/>
          <w:numId w:val="31"/>
        </w:numPr>
        <w:spacing w:line="240" w:lineRule="auto"/>
      </w:pPr>
      <w:r>
        <w:rPr>
          <w:b/>
          <w:bCs/>
        </w:rPr>
        <w:t>Cleaned Cohort Data:</w:t>
      </w:r>
      <w:r>
        <w:t xml:space="preserve"> A statistically purified dataset for institutional "Whale" analysis.</w:t>
      </w:r>
    </w:p>
    <w:p w14:paraId="401B977D" w14:textId="77777777" w:rsidR="00E44DE0" w:rsidRDefault="00000000">
      <w:pPr>
        <w:numPr>
          <w:ilvl w:val="1"/>
          <w:numId w:val="31"/>
        </w:numPr>
        <w:spacing w:line="240" w:lineRule="auto"/>
      </w:pPr>
      <w:r>
        <w:rPr>
          <w:b/>
          <w:bCs/>
        </w:rPr>
        <w:t>Audit Manifest:</w:t>
      </w:r>
      <w:r>
        <w:t xml:space="preserve"> A record of isolated data points for manual verification by AIVU engineers.</w:t>
      </w:r>
    </w:p>
    <w:p w14:paraId="7D8F75B7" w14:textId="77777777" w:rsidR="00E44DE0" w:rsidRDefault="00E44DE0">
      <w:pPr>
        <w:rPr>
          <w:b/>
          <w:bCs/>
        </w:rPr>
      </w:pPr>
    </w:p>
    <w:p w14:paraId="03A3EF7C" w14:textId="77777777" w:rsidR="00E44DE0" w:rsidRDefault="00000000">
      <w:pPr>
        <w:pStyle w:val="Heading3"/>
        <w:rPr>
          <w:b/>
          <w:bCs/>
        </w:rPr>
      </w:pPr>
      <w:bookmarkStart w:id="58" w:name="_Toc229320732"/>
      <w:r>
        <w:rPr>
          <w:b/>
          <w:bCs/>
        </w:rPr>
        <w:t>1.3  Security &amp; The Triangulation Defense</w:t>
      </w:r>
      <w:bookmarkEnd w:id="58"/>
    </w:p>
    <w:p w14:paraId="43272138" w14:textId="77777777" w:rsidR="00E44DE0" w:rsidRDefault="00000000">
      <w:pPr>
        <w:spacing w:line="240" w:lineRule="auto"/>
      </w:pPr>
      <w:r>
        <w:rPr>
          <w:b/>
          <w:bCs/>
        </w:rPr>
        <w:t>Objective:</w:t>
      </w:r>
      <w:r>
        <w:t xml:space="preserve"> To implement technical enforcement of privacy guardrails that prevent any institutional customer from reverse-engineering the identity of a specific asset while maintaining the mathematical integrity of the Clearinghouse.</w:t>
      </w:r>
    </w:p>
    <w:p w14:paraId="4F322B86" w14:textId="77777777" w:rsidR="00E44DE0" w:rsidRDefault="00000000">
      <w:pPr>
        <w:pStyle w:val="Heading4"/>
        <w:spacing w:line="240" w:lineRule="auto"/>
        <w:rPr>
          <w:b/>
          <w:bCs/>
        </w:rPr>
      </w:pPr>
      <w:r>
        <w:rPr>
          <w:b/>
          <w:bCs/>
        </w:rPr>
        <w:t>1.3.1 The N=90 Statistical Anchor (Privacy obscured through aggregation)</w:t>
      </w:r>
    </w:p>
    <w:p w14:paraId="52BC86C6" w14:textId="77777777" w:rsidR="00E44DE0" w:rsidRDefault="00000000">
      <w:pPr>
        <w:numPr>
          <w:ilvl w:val="0"/>
          <w:numId w:val="32"/>
        </w:numPr>
        <w:spacing w:line="240" w:lineRule="auto"/>
      </w:pPr>
      <w:r>
        <w:rPr>
          <w:b/>
          <w:bCs/>
        </w:rPr>
        <w:t>Input:</w:t>
      </w:r>
    </w:p>
    <w:p w14:paraId="258B44A1" w14:textId="77777777" w:rsidR="00E44DE0" w:rsidRDefault="00000000">
      <w:pPr>
        <w:numPr>
          <w:ilvl w:val="1"/>
          <w:numId w:val="32"/>
        </w:numPr>
        <w:spacing w:line="240" w:lineRule="auto"/>
      </w:pPr>
      <w:r>
        <w:t xml:space="preserve">Purified data streams from the </w:t>
      </w:r>
      <w:r>
        <w:rPr>
          <w:b/>
          <w:bCs/>
        </w:rPr>
        <w:t>Normalized Physics Feed</w:t>
      </w:r>
      <w:r>
        <w:t>.</w:t>
      </w:r>
    </w:p>
    <w:p w14:paraId="6AD4A123" w14:textId="77777777" w:rsidR="00E44DE0" w:rsidRDefault="00000000">
      <w:pPr>
        <w:numPr>
          <w:ilvl w:val="1"/>
          <w:numId w:val="32"/>
        </w:numPr>
        <w:spacing w:line="240" w:lineRule="auto"/>
      </w:pPr>
      <w:r>
        <w:t>Asset metadata including ASHRAE climate zones and structural taxonomy.</w:t>
      </w:r>
    </w:p>
    <w:p w14:paraId="7A36B4F2" w14:textId="77777777" w:rsidR="00E44DE0" w:rsidRDefault="00000000">
      <w:pPr>
        <w:numPr>
          <w:ilvl w:val="0"/>
          <w:numId w:val="32"/>
        </w:numPr>
        <w:spacing w:line="240" w:lineRule="auto"/>
      </w:pPr>
      <w:r>
        <w:rPr>
          <w:b/>
          <w:bCs/>
        </w:rPr>
        <w:t>Process:</w:t>
      </w:r>
    </w:p>
    <w:p w14:paraId="1FC8A413" w14:textId="77777777" w:rsidR="00E44DE0" w:rsidRDefault="00000000">
      <w:pPr>
        <w:numPr>
          <w:ilvl w:val="1"/>
          <w:numId w:val="32"/>
        </w:numPr>
        <w:spacing w:line="240" w:lineRule="auto"/>
      </w:pPr>
      <w:r>
        <w:rPr>
          <w:b/>
          <w:bCs/>
        </w:rPr>
        <w:t>Cluster Verification:</w:t>
      </w:r>
      <w:r>
        <w:t xml:space="preserve"> The refinery monitors orthogonal clusters (groups of highly similar structures in specific market segments).</w:t>
      </w:r>
    </w:p>
    <w:p w14:paraId="6F4B1FA0" w14:textId="77777777" w:rsidR="00E44DE0" w:rsidRDefault="00000000">
      <w:pPr>
        <w:numPr>
          <w:ilvl w:val="1"/>
          <w:numId w:val="32"/>
        </w:numPr>
        <w:spacing w:line="240" w:lineRule="auto"/>
      </w:pPr>
      <w:r>
        <w:rPr>
          <w:b/>
          <w:bCs/>
        </w:rPr>
        <w:t>Export Gatekeeping:</w:t>
      </w:r>
      <w:r>
        <w:t xml:space="preserve"> No data products are exported to the Clearinghouse until an orthogonal cluster reaches a minimum of </w:t>
      </w:r>
      <w:r>
        <w:rPr>
          <w:b/>
          <w:bCs/>
        </w:rPr>
        <w:t>90 active assets</w:t>
      </w:r>
      <w:r>
        <w:t>.</w:t>
      </w:r>
    </w:p>
    <w:p w14:paraId="30093C34" w14:textId="77777777" w:rsidR="00E44DE0" w:rsidRDefault="00000000">
      <w:pPr>
        <w:numPr>
          <w:ilvl w:val="1"/>
          <w:numId w:val="32"/>
        </w:numPr>
        <w:spacing w:line="240" w:lineRule="auto"/>
      </w:pPr>
      <w:r>
        <w:rPr>
          <w:b/>
          <w:bCs/>
        </w:rPr>
        <w:t>Baseline Inheritance:</w:t>
      </w:r>
      <w:r>
        <w:t xml:space="preserve"> If a cluster has fewer than 90 assets, individual assets inherit physics from the next available </w:t>
      </w:r>
      <w:r>
        <w:rPr>
          <w:b/>
          <w:bCs/>
        </w:rPr>
        <w:t>Parent Model</w:t>
      </w:r>
      <w:r>
        <w:t xml:space="preserve"> rather than exposing unique local signatures.</w:t>
      </w:r>
    </w:p>
    <w:p w14:paraId="6D577320" w14:textId="77777777" w:rsidR="00E44DE0" w:rsidRDefault="00000000">
      <w:pPr>
        <w:numPr>
          <w:ilvl w:val="0"/>
          <w:numId w:val="32"/>
        </w:numPr>
        <w:spacing w:line="240" w:lineRule="auto"/>
      </w:pPr>
      <w:r>
        <w:rPr>
          <w:b/>
          <w:bCs/>
        </w:rPr>
        <w:t>Output:</w:t>
      </w:r>
    </w:p>
    <w:p w14:paraId="4EE88377" w14:textId="77777777" w:rsidR="00E44DE0" w:rsidRDefault="00000000">
      <w:pPr>
        <w:numPr>
          <w:ilvl w:val="1"/>
          <w:numId w:val="32"/>
        </w:numPr>
        <w:spacing w:line="240" w:lineRule="auto"/>
      </w:pPr>
      <w:r>
        <w:rPr>
          <w:b/>
          <w:bCs/>
        </w:rPr>
        <w:t>Anonymized Cohort Data:</w:t>
      </w:r>
      <w:r>
        <w:t xml:space="preserve"> Aggregated performance metrics that are statistically unassailable but mathematically obscured for individual identification.</w:t>
      </w:r>
    </w:p>
    <w:p w14:paraId="49085B33" w14:textId="77777777" w:rsidR="00E44DE0" w:rsidRDefault="00000000">
      <w:pPr>
        <w:numPr>
          <w:ilvl w:val="1"/>
          <w:numId w:val="32"/>
        </w:numPr>
        <w:spacing w:line="240" w:lineRule="auto"/>
      </w:pPr>
      <w:r>
        <w:rPr>
          <w:b/>
          <w:bCs/>
        </w:rPr>
        <w:t>Master Reference Model "M":</w:t>
      </w:r>
      <w:r>
        <w:t xml:space="preserve"> An autonomous, high-fidelity model triggered only upon reaching the 90th asset.</w:t>
      </w:r>
    </w:p>
    <w:p w14:paraId="609F8DBD" w14:textId="77777777" w:rsidR="00E44DE0" w:rsidRDefault="00000000">
      <w:pPr>
        <w:pStyle w:val="Heading4"/>
        <w:spacing w:line="240" w:lineRule="auto"/>
        <w:rPr>
          <w:b/>
          <w:bCs/>
        </w:rPr>
      </w:pPr>
      <w:r>
        <w:rPr>
          <w:b/>
          <w:bCs/>
        </w:rPr>
        <w:t>1.3.2 The Triangulation Defense (Permutation Guard)</w:t>
      </w:r>
    </w:p>
    <w:p w14:paraId="640D802C" w14:textId="77777777" w:rsidR="00E44DE0" w:rsidRDefault="00000000">
      <w:pPr>
        <w:numPr>
          <w:ilvl w:val="0"/>
          <w:numId w:val="33"/>
        </w:numPr>
        <w:spacing w:line="240" w:lineRule="auto"/>
      </w:pPr>
      <w:r>
        <w:rPr>
          <w:b/>
          <w:bCs/>
        </w:rPr>
        <w:t>Input:</w:t>
      </w:r>
    </w:p>
    <w:p w14:paraId="74FB0321" w14:textId="77777777" w:rsidR="00E44DE0" w:rsidRDefault="00000000">
      <w:pPr>
        <w:numPr>
          <w:ilvl w:val="1"/>
          <w:numId w:val="33"/>
        </w:numPr>
        <w:spacing w:line="240" w:lineRule="auto"/>
      </w:pPr>
      <w:r>
        <w:t>Disparate data segments (e.g., Socio-economic Census data vs. 1Hz grid-edge telemetry).</w:t>
      </w:r>
    </w:p>
    <w:p w14:paraId="5CB3FF73" w14:textId="77777777" w:rsidR="00E44DE0" w:rsidRDefault="00000000">
      <w:pPr>
        <w:numPr>
          <w:ilvl w:val="1"/>
          <w:numId w:val="33"/>
        </w:numPr>
        <w:spacing w:line="240" w:lineRule="auto"/>
      </w:pPr>
      <w:r>
        <w:t xml:space="preserve">Customer query parameters from the </w:t>
      </w:r>
      <w:r>
        <w:rPr>
          <w:b/>
          <w:bCs/>
        </w:rPr>
        <w:t>Institutional "Truth Portal"</w:t>
      </w:r>
      <w:r>
        <w:t>.</w:t>
      </w:r>
    </w:p>
    <w:p w14:paraId="005BBF5D" w14:textId="77777777" w:rsidR="00E44DE0" w:rsidRDefault="00000000">
      <w:pPr>
        <w:numPr>
          <w:ilvl w:val="0"/>
          <w:numId w:val="33"/>
        </w:numPr>
        <w:spacing w:line="240" w:lineRule="auto"/>
      </w:pPr>
      <w:r>
        <w:rPr>
          <w:b/>
          <w:bCs/>
        </w:rPr>
        <w:lastRenderedPageBreak/>
        <w:t>Process:</w:t>
      </w:r>
    </w:p>
    <w:p w14:paraId="5AC90B6E" w14:textId="77777777" w:rsidR="00E44DE0" w:rsidRDefault="00000000">
      <w:pPr>
        <w:numPr>
          <w:ilvl w:val="1"/>
          <w:numId w:val="33"/>
        </w:numPr>
        <w:spacing w:line="240" w:lineRule="auto"/>
      </w:pPr>
      <w:r>
        <w:rPr>
          <w:b/>
          <w:bCs/>
        </w:rPr>
        <w:t>Cross-Reference Interdiction:</w:t>
      </w:r>
      <w:r>
        <w:t xml:space="preserve"> The refinery implements a "Permutation Guard" that monitors incoming queries across different data "lenses".</w:t>
      </w:r>
    </w:p>
    <w:p w14:paraId="6DC86116" w14:textId="77777777" w:rsidR="00E44DE0" w:rsidRDefault="00000000">
      <w:pPr>
        <w:numPr>
          <w:ilvl w:val="1"/>
          <w:numId w:val="33"/>
        </w:numPr>
        <w:spacing w:line="240" w:lineRule="auto"/>
      </w:pPr>
      <w:r>
        <w:rPr>
          <w:b/>
          <w:bCs/>
        </w:rPr>
        <w:t>Correlation Blocking:</w:t>
      </w:r>
      <w:r>
        <w:t xml:space="preserve"> Identifying and blocking query patterns intended to triangulate a home's identity (e.g., "Find all $300k homes with 1Hz AC signatures in Census Block X").</w:t>
      </w:r>
    </w:p>
    <w:p w14:paraId="3B418752" w14:textId="77777777" w:rsidR="00E44DE0" w:rsidRDefault="00000000">
      <w:pPr>
        <w:numPr>
          <w:ilvl w:val="1"/>
          <w:numId w:val="33"/>
        </w:numPr>
        <w:spacing w:line="240" w:lineRule="auto"/>
      </w:pPr>
      <w:r>
        <w:rPr>
          <w:b/>
          <w:bCs/>
        </w:rPr>
        <w:t>Matrix Slicing Constraints:</w:t>
      </w:r>
      <w:r>
        <w:t xml:space="preserve"> Limiting the granularity of "horizontal slicing" for high-resolution engineering reports to ensure they cannot be combined with local market data for re-identification.</w:t>
      </w:r>
    </w:p>
    <w:p w14:paraId="5BF13811" w14:textId="77777777" w:rsidR="00E44DE0" w:rsidRDefault="00000000">
      <w:pPr>
        <w:numPr>
          <w:ilvl w:val="0"/>
          <w:numId w:val="33"/>
        </w:numPr>
        <w:spacing w:line="240" w:lineRule="auto"/>
      </w:pPr>
      <w:r>
        <w:rPr>
          <w:b/>
          <w:bCs/>
        </w:rPr>
        <w:t>Output:</w:t>
      </w:r>
    </w:p>
    <w:p w14:paraId="5000D7DD" w14:textId="77777777" w:rsidR="00E44DE0" w:rsidRDefault="00000000">
      <w:pPr>
        <w:numPr>
          <w:ilvl w:val="1"/>
          <w:numId w:val="33"/>
        </w:numPr>
        <w:spacing w:line="240" w:lineRule="auto"/>
      </w:pPr>
      <w:r>
        <w:rPr>
          <w:b/>
          <w:bCs/>
        </w:rPr>
        <w:t>Secure Data Payloads:</w:t>
      </w:r>
      <w:r>
        <w:t xml:space="preserve"> Information products that provide "Whale" level insights without compromising "Source Data Chain of Custody" privacy.</w:t>
      </w:r>
    </w:p>
    <w:p w14:paraId="4B662482" w14:textId="77777777" w:rsidR="00E44DE0" w:rsidRDefault="00000000">
      <w:pPr>
        <w:pStyle w:val="Heading4"/>
        <w:spacing w:line="240" w:lineRule="auto"/>
        <w:rPr>
          <w:b/>
          <w:bCs/>
        </w:rPr>
      </w:pPr>
      <w:r>
        <w:rPr>
          <w:b/>
          <w:bCs/>
        </w:rPr>
        <w:t>1.3.3 Admissibility Protocol (The Cryptographic Chain of Custody)</w:t>
      </w:r>
    </w:p>
    <w:p w14:paraId="2893664C" w14:textId="77777777" w:rsidR="00E44DE0" w:rsidRDefault="00000000">
      <w:pPr>
        <w:numPr>
          <w:ilvl w:val="0"/>
          <w:numId w:val="34"/>
        </w:numPr>
        <w:spacing w:line="240" w:lineRule="auto"/>
      </w:pPr>
      <w:r>
        <w:rPr>
          <w:b/>
          <w:bCs/>
        </w:rPr>
        <w:t>Input:</w:t>
      </w:r>
    </w:p>
    <w:p w14:paraId="39C827A2" w14:textId="77777777" w:rsidR="00E44DE0" w:rsidRDefault="00000000">
      <w:pPr>
        <w:numPr>
          <w:ilvl w:val="1"/>
          <w:numId w:val="34"/>
        </w:numPr>
        <w:spacing w:line="240" w:lineRule="auto"/>
      </w:pPr>
      <w:r>
        <w:t xml:space="preserve">Raw 1Hz telemetry from the physical </w:t>
      </w:r>
      <w:r>
        <w:rPr>
          <w:b/>
          <w:bCs/>
        </w:rPr>
        <w:t>Venturi</w:t>
      </w:r>
      <w:r>
        <w:t xml:space="preserve"> and </w:t>
      </w:r>
      <w:r>
        <w:rPr>
          <w:b/>
          <w:bCs/>
        </w:rPr>
        <w:t>Smart Breakers</w:t>
      </w:r>
      <w:r>
        <w:t>.</w:t>
      </w:r>
    </w:p>
    <w:p w14:paraId="4EA54A44" w14:textId="77777777" w:rsidR="00E44DE0" w:rsidRDefault="00000000">
      <w:pPr>
        <w:numPr>
          <w:ilvl w:val="1"/>
          <w:numId w:val="34"/>
        </w:numPr>
        <w:spacing w:line="240" w:lineRule="auto"/>
      </w:pPr>
      <w:r>
        <w:t xml:space="preserve">Audit logs from the </w:t>
      </w:r>
      <w:r>
        <w:rPr>
          <w:b/>
          <w:bCs/>
        </w:rPr>
        <w:t>Adjudication Engine</w:t>
      </w:r>
      <w:r>
        <w:t xml:space="preserve"> and </w:t>
      </w:r>
      <w:r>
        <w:rPr>
          <w:b/>
          <w:bCs/>
        </w:rPr>
        <w:t>Integrity Layer</w:t>
      </w:r>
      <w:r>
        <w:t>.</w:t>
      </w:r>
    </w:p>
    <w:p w14:paraId="361EF96E" w14:textId="77777777" w:rsidR="00E44DE0" w:rsidRDefault="00000000">
      <w:pPr>
        <w:numPr>
          <w:ilvl w:val="0"/>
          <w:numId w:val="34"/>
        </w:numPr>
        <w:spacing w:line="240" w:lineRule="auto"/>
      </w:pPr>
      <w:r>
        <w:rPr>
          <w:b/>
          <w:bCs/>
        </w:rPr>
        <w:t>Process:</w:t>
      </w:r>
    </w:p>
    <w:p w14:paraId="5D53CBEC" w14:textId="77777777" w:rsidR="00E44DE0" w:rsidRDefault="00000000">
      <w:pPr>
        <w:numPr>
          <w:ilvl w:val="1"/>
          <w:numId w:val="34"/>
        </w:numPr>
        <w:spacing w:line="240" w:lineRule="auto"/>
      </w:pPr>
      <w:r>
        <w:rPr>
          <w:b/>
          <w:bCs/>
        </w:rPr>
        <w:t>Cryptographic Anchoring:</w:t>
      </w:r>
      <w:r>
        <w:t xml:space="preserve"> Every data packet is signed with a unique asset key and anchored to the </w:t>
      </w:r>
      <w:r>
        <w:rPr>
          <w:b/>
          <w:bCs/>
        </w:rPr>
        <w:t>Clearinghouse ledger</w:t>
      </w:r>
      <w:r>
        <w:t>.</w:t>
      </w:r>
    </w:p>
    <w:p w14:paraId="72C30A34" w14:textId="77777777" w:rsidR="00E44DE0" w:rsidRDefault="00000000">
      <w:pPr>
        <w:numPr>
          <w:ilvl w:val="1"/>
          <w:numId w:val="34"/>
        </w:numPr>
        <w:spacing w:line="240" w:lineRule="auto"/>
      </w:pPr>
      <w:r>
        <w:rPr>
          <w:b/>
          <w:bCs/>
        </w:rPr>
        <w:t>Path Documentation:</w:t>
      </w:r>
      <w:r>
        <w:t xml:space="preserve"> Generating an immutable "Digital Birth Certificate" and trail that documents every refinement step from the sensor to the final financial record.</w:t>
      </w:r>
    </w:p>
    <w:p w14:paraId="3F6B5531" w14:textId="77777777" w:rsidR="00E44DE0" w:rsidRDefault="00000000">
      <w:pPr>
        <w:numPr>
          <w:ilvl w:val="0"/>
          <w:numId w:val="34"/>
        </w:numPr>
        <w:spacing w:line="240" w:lineRule="auto"/>
      </w:pPr>
      <w:r>
        <w:rPr>
          <w:b/>
          <w:bCs/>
        </w:rPr>
        <w:t>Output:</w:t>
      </w:r>
    </w:p>
    <w:p w14:paraId="13B00CA6" w14:textId="77777777" w:rsidR="00E44DE0" w:rsidRDefault="00000000">
      <w:pPr>
        <w:numPr>
          <w:ilvl w:val="1"/>
          <w:numId w:val="34"/>
        </w:numPr>
        <w:spacing w:line="240" w:lineRule="auto"/>
      </w:pPr>
      <w:r>
        <w:rPr>
          <w:b/>
          <w:bCs/>
        </w:rPr>
        <w:t>Admissible Financial Records:</w:t>
      </w:r>
      <w:r>
        <w:t xml:space="preserve"> Verified reports that are legally defensible for Segment 2 (Insurers/Legal) and Segment 6 (Regulatory).</w:t>
      </w:r>
    </w:p>
    <w:p w14:paraId="63E1F998" w14:textId="77777777" w:rsidR="00E44DE0" w:rsidRDefault="00E44DE0">
      <w:pPr>
        <w:rPr>
          <w:b/>
          <w:bCs/>
          <w:sz w:val="28"/>
          <w:szCs w:val="28"/>
        </w:rPr>
      </w:pPr>
    </w:p>
    <w:p w14:paraId="6F312C62" w14:textId="77777777" w:rsidR="00E44DE0" w:rsidRDefault="00000000">
      <w:pPr>
        <w:pStyle w:val="Heading2"/>
        <w:rPr>
          <w:b/>
          <w:bCs/>
          <w:sz w:val="28"/>
          <w:szCs w:val="28"/>
        </w:rPr>
      </w:pPr>
      <w:bookmarkStart w:id="59" w:name="_Toc229320733"/>
      <w:r>
        <w:rPr>
          <w:b/>
          <w:bCs/>
          <w:sz w:val="28"/>
          <w:szCs w:val="28"/>
        </w:rPr>
        <w:t>2. Multi-Segment Institutional Exchange</w:t>
      </w:r>
      <w:bookmarkEnd w:id="59"/>
    </w:p>
    <w:p w14:paraId="4C80A895" w14:textId="77777777" w:rsidR="00E44DE0" w:rsidRDefault="00000000">
      <w:r>
        <w:rPr>
          <w:b/>
          <w:bCs/>
        </w:rPr>
        <w:t>Objective:</w:t>
      </w:r>
      <w:r>
        <w:t xml:space="preserve"> To route verified "Truth" to the six distinct Market Segments, tailored to their specific operational and financial mandates.</w:t>
      </w:r>
    </w:p>
    <w:p w14:paraId="7ED03511" w14:textId="77777777" w:rsidR="00E44DE0" w:rsidRDefault="00000000">
      <w:pPr>
        <w:pStyle w:val="Heading3"/>
      </w:pPr>
      <w:bookmarkStart w:id="60" w:name="_Toc229320734"/>
      <w:r>
        <w:rPr>
          <w:b/>
          <w:bCs/>
        </w:rPr>
        <w:t>2.1 Market Segment 4: Manufacturing &amp; Supply (OEMs)</w:t>
      </w:r>
      <w:bookmarkEnd w:id="60"/>
      <w:r>
        <w:t xml:space="preserve"> </w:t>
      </w:r>
    </w:p>
    <w:p w14:paraId="1490BE52" w14:textId="77777777" w:rsidR="00E44DE0" w:rsidRDefault="00000000">
      <w:r>
        <w:rPr>
          <w:b/>
          <w:bCs/>
        </w:rPr>
        <w:t>Objective:</w:t>
      </w:r>
      <w:r>
        <w:t xml:space="preserve"> To transform 1Hz telemetry and orthogonal socio-economic data into high-margin "Engineering Truth" and "Market Intelligence" products for OEMs and building material vendors.</w:t>
      </w:r>
    </w:p>
    <w:p w14:paraId="0FE20DE8" w14:textId="77777777" w:rsidR="00E44DE0" w:rsidRDefault="00000000">
      <w:pPr>
        <w:pStyle w:val="Heading4"/>
        <w:numPr>
          <w:ilvl w:val="0"/>
          <w:numId w:val="36"/>
        </w:numPr>
      </w:pPr>
      <w:r>
        <w:rPr>
          <w:b/>
          <w:bCs/>
        </w:rPr>
        <w:lastRenderedPageBreak/>
        <w:t>2.1.1 Horizontal Reliability Reports (Engineering Truth)</w:t>
      </w:r>
      <w:r>
        <w:t xml:space="preserve"> </w:t>
      </w:r>
    </w:p>
    <w:p w14:paraId="6E3C4702" w14:textId="77777777" w:rsidR="00E44DE0" w:rsidRDefault="00000000">
      <w:pPr>
        <w:numPr>
          <w:ilvl w:val="1"/>
          <w:numId w:val="36"/>
        </w:numPr>
      </w:pPr>
      <w:r>
        <w:rPr>
          <w:b/>
          <w:bCs/>
        </w:rPr>
        <w:t>Input:</w:t>
      </w:r>
      <w:r>
        <w:t xml:space="preserve"> 1Hz purified data streams from the Normalized Physics Feed; hardware/firmware metadata; ASHRAE climate zone and moisture sub-zone identifiers .</w:t>
      </w:r>
    </w:p>
    <w:p w14:paraId="197D0DBE" w14:textId="77777777" w:rsidR="00E44DE0" w:rsidRDefault="00000000">
      <w:pPr>
        <w:numPr>
          <w:ilvl w:val="1"/>
          <w:numId w:val="36"/>
        </w:numPr>
      </w:pPr>
      <w:r>
        <w:rPr>
          <w:b/>
          <w:bCs/>
        </w:rPr>
        <w:t>Process:</w:t>
      </w:r>
      <w:r>
        <w:t xml:space="preserve"> Correlating actual mass airflow and enthalpy deltas against theoretical targets; utilizing time-series analysis to audit internal vendor diagnostics; matrix slicing by climate or firmware to isolate systemic "gene" failures .</w:t>
      </w:r>
    </w:p>
    <w:p w14:paraId="6D84E8CB" w14:textId="77777777" w:rsidR="00E44DE0" w:rsidRDefault="00000000">
      <w:pPr>
        <w:numPr>
          <w:ilvl w:val="1"/>
          <w:numId w:val="36"/>
        </w:numPr>
      </w:pPr>
      <w:r>
        <w:rPr>
          <w:b/>
          <w:bCs/>
        </w:rPr>
        <w:t>Output:</w:t>
      </w:r>
      <w:r>
        <w:t xml:space="preserve"> Live Horizontal Reliability Dashboards to identify "bad batches" within days; Standard Refinement Feeds for updating industry safety factors .</w:t>
      </w:r>
    </w:p>
    <w:p w14:paraId="1EE3AB7C" w14:textId="77777777" w:rsidR="00E44DE0" w:rsidRDefault="00000000">
      <w:pPr>
        <w:pStyle w:val="Heading4"/>
        <w:numPr>
          <w:ilvl w:val="0"/>
          <w:numId w:val="36"/>
        </w:numPr>
      </w:pPr>
      <w:r>
        <w:rPr>
          <w:b/>
          <w:bCs/>
        </w:rPr>
        <w:t>2.1.2  Buyer Preference &amp; Feature Resonance Map (Market Intelligence)</w:t>
      </w:r>
      <w:r>
        <w:t xml:space="preserve"> </w:t>
      </w:r>
    </w:p>
    <w:p w14:paraId="1F367191" w14:textId="77777777" w:rsidR="00E44DE0" w:rsidRDefault="00000000">
      <w:pPr>
        <w:numPr>
          <w:ilvl w:val="1"/>
          <w:numId w:val="36"/>
        </w:numPr>
      </w:pPr>
      <w:r>
        <w:rPr>
          <w:b/>
          <w:bCs/>
        </w:rPr>
        <w:t>Input:</w:t>
      </w:r>
      <w:r>
        <w:t xml:space="preserve"> Aggregated usage signatures; orthogonal socio-economic demographic data; history of "frequent thermostat adjustments" .</w:t>
      </w:r>
    </w:p>
    <w:p w14:paraId="06AF8007" w14:textId="77777777" w:rsidR="00E44DE0" w:rsidRDefault="00000000">
      <w:pPr>
        <w:numPr>
          <w:ilvl w:val="1"/>
          <w:numId w:val="36"/>
        </w:numPr>
      </w:pPr>
      <w:r>
        <w:rPr>
          <w:b/>
          <w:bCs/>
        </w:rPr>
        <w:t>Process:</w:t>
      </w:r>
      <w:r>
        <w:t xml:space="preserve"> Analyzing which premium hardware features are utilized by specific cohorts; determining if features are used as intended or bypassed to meet economic guardrails .</w:t>
      </w:r>
    </w:p>
    <w:p w14:paraId="15CF3070" w14:textId="77777777" w:rsidR="00E44DE0" w:rsidRDefault="00000000">
      <w:pPr>
        <w:numPr>
          <w:ilvl w:val="1"/>
          <w:numId w:val="36"/>
        </w:numPr>
      </w:pPr>
      <w:r>
        <w:rPr>
          <w:b/>
          <w:bCs/>
        </w:rPr>
        <w:t>Output:</w:t>
      </w:r>
      <w:r>
        <w:t xml:space="preserve"> Willingness to Pay (WTP) Index detailing feature resonance; Predictive Recall Services for early-warning hardware defect notifications .</w:t>
      </w:r>
    </w:p>
    <w:p w14:paraId="4881EC63" w14:textId="77777777" w:rsidR="00E44DE0" w:rsidRDefault="00000000">
      <w:pPr>
        <w:pStyle w:val="Heading4"/>
        <w:numPr>
          <w:ilvl w:val="0"/>
          <w:numId w:val="36"/>
        </w:numPr>
      </w:pPr>
      <w:r>
        <w:rPr>
          <w:b/>
          <w:bCs/>
        </w:rPr>
        <w:t>2.1.3  Empirical Purchase Intelligence (The "Anti-Survey" Feed)</w:t>
      </w:r>
      <w:r>
        <w:t xml:space="preserve"> </w:t>
      </w:r>
    </w:p>
    <w:p w14:paraId="3B56788B" w14:textId="77777777" w:rsidR="00E44DE0" w:rsidRDefault="00000000">
      <w:pPr>
        <w:numPr>
          <w:ilvl w:val="1"/>
          <w:numId w:val="36"/>
        </w:numPr>
      </w:pPr>
      <w:r>
        <w:rPr>
          <w:b/>
          <w:bCs/>
        </w:rPr>
        <w:t>Input:</w:t>
      </w:r>
      <w:r>
        <w:t xml:space="preserve"> 1Hz electrical telemetry capturing the distinct power signatures and degradation curves of critical appliances (HVAC, EV chargers); timestamped efficiency deltas signifying hardware upgrades (e.g., a SEER 10 signature replaced by a SEER 18 signature); anonymized US Census Block Group data.</w:t>
      </w:r>
    </w:p>
    <w:p w14:paraId="7F5B3985" w14:textId="77777777" w:rsidR="00E44DE0" w:rsidRDefault="00000000">
      <w:pPr>
        <w:numPr>
          <w:ilvl w:val="1"/>
          <w:numId w:val="36"/>
        </w:numPr>
      </w:pPr>
      <w:r>
        <w:rPr>
          <w:b/>
          <w:bCs/>
        </w:rPr>
        <w:t>Process:</w:t>
      </w:r>
      <w:r>
        <w:t xml:space="preserve"> The Big Digital Twin correlates the exact moment of a hardware replacement with preceding equipment degradation, local utility rates, and the homeowner's demographic profile to determine exact purchase decision triggers.</w:t>
      </w:r>
    </w:p>
    <w:p w14:paraId="69BA9907" w14:textId="77777777" w:rsidR="00E44DE0" w:rsidRDefault="00000000">
      <w:pPr>
        <w:numPr>
          <w:ilvl w:val="1"/>
          <w:numId w:val="36"/>
        </w:numPr>
      </w:pPr>
      <w:r>
        <w:rPr>
          <w:b/>
          <w:bCs/>
        </w:rPr>
        <w:t>Output:</w:t>
      </w:r>
      <w:r>
        <w:t xml:space="preserve"> A high-margin data feed sold to OEMs proving (fully anonymized) </w:t>
      </w:r>
      <w:r>
        <w:rPr>
          <w:i/>
          <w:iCs/>
        </w:rPr>
        <w:t>who</w:t>
      </w:r>
      <w:r>
        <w:t xml:space="preserve"> is buying, </w:t>
      </w:r>
      <w:r>
        <w:rPr>
          <w:i/>
          <w:iCs/>
        </w:rPr>
        <w:t>how</w:t>
      </w:r>
      <w:r>
        <w:t xml:space="preserve"> they </w:t>
      </w:r>
      <w:proofErr w:type="gramStart"/>
      <w:r>
        <w:t>actually use</w:t>
      </w:r>
      <w:proofErr w:type="gramEnd"/>
      <w:r>
        <w:t xml:space="preserve"> the equipment, and the precise economic thresholds that trigger a replacement decision.</w:t>
      </w:r>
    </w:p>
    <w:p w14:paraId="368D892B" w14:textId="77777777" w:rsidR="00E44DE0" w:rsidRDefault="00000000">
      <w:pPr>
        <w:pStyle w:val="Heading3"/>
      </w:pPr>
      <w:bookmarkStart w:id="61" w:name="_Toc229320735"/>
      <w:r>
        <w:rPr>
          <w:b/>
          <w:bCs/>
        </w:rPr>
        <w:t>2.2 Market Segment 5: Professional Services &amp; Trades</w:t>
      </w:r>
      <w:bookmarkEnd w:id="61"/>
      <w:r>
        <w:t xml:space="preserve"> </w:t>
      </w:r>
    </w:p>
    <w:p w14:paraId="6ED4187A" w14:textId="77777777" w:rsidR="00E44DE0" w:rsidRDefault="00000000">
      <w:r>
        <w:rPr>
          <w:b/>
          <w:bCs/>
        </w:rPr>
        <w:t>Objective:</w:t>
      </w:r>
      <w:r>
        <w:t xml:space="preserve"> To provide contractors with "Channel Efficiency" products that eliminate diagnostic waste and reduce customer acquisition costs.</w:t>
      </w:r>
    </w:p>
    <w:p w14:paraId="59BBE2B3" w14:textId="77777777" w:rsidR="00E44DE0" w:rsidRDefault="00000000">
      <w:pPr>
        <w:pStyle w:val="Heading4"/>
        <w:numPr>
          <w:ilvl w:val="0"/>
          <w:numId w:val="37"/>
        </w:numPr>
      </w:pPr>
      <w:r>
        <w:rPr>
          <w:b/>
          <w:bCs/>
        </w:rPr>
        <w:t>2.2.1 Diagnosed Job Tickets (The "Pit Stop" Model)</w:t>
      </w:r>
      <w:r>
        <w:t xml:space="preserve"> </w:t>
      </w:r>
    </w:p>
    <w:p w14:paraId="17F4D9E7" w14:textId="77777777" w:rsidR="00E44DE0" w:rsidRDefault="00000000">
      <w:pPr>
        <w:numPr>
          <w:ilvl w:val="1"/>
          <w:numId w:val="37"/>
        </w:numPr>
      </w:pPr>
      <w:r>
        <w:rPr>
          <w:b/>
          <w:bCs/>
        </w:rPr>
        <w:t>Input:</w:t>
      </w:r>
      <w:r>
        <w:t xml:space="preserve"> Component-level failure signatures detected by the HPM; specific model/serial numbers and component locations .</w:t>
      </w:r>
    </w:p>
    <w:p w14:paraId="27582379" w14:textId="77777777" w:rsidR="00E44DE0" w:rsidRDefault="00000000">
      <w:pPr>
        <w:numPr>
          <w:ilvl w:val="1"/>
          <w:numId w:val="37"/>
        </w:numPr>
      </w:pPr>
      <w:r>
        <w:rPr>
          <w:b/>
          <w:bCs/>
        </w:rPr>
        <w:lastRenderedPageBreak/>
        <w:t>Process:</w:t>
      </w:r>
      <w:r>
        <w:t xml:space="preserve"> The HPM pre-diagnoses the specific failure mode before dispatch; the system routes the ticket to the contractor’s Channel Lens dashboard .</w:t>
      </w:r>
    </w:p>
    <w:p w14:paraId="7B55A767" w14:textId="77777777" w:rsidR="00E44DE0" w:rsidRDefault="00000000">
      <w:pPr>
        <w:numPr>
          <w:ilvl w:val="1"/>
          <w:numId w:val="37"/>
        </w:numPr>
      </w:pPr>
      <w:r>
        <w:rPr>
          <w:b/>
          <w:bCs/>
        </w:rPr>
        <w:t>Output:</w:t>
      </w:r>
      <w:r>
        <w:t xml:space="preserve"> Actionable Leads via push notifications with pre-verified diagnostic codes; elimination of diagnostic waste via a one-trip "Pit Stop" model .</w:t>
      </w:r>
    </w:p>
    <w:p w14:paraId="20042171" w14:textId="77777777" w:rsidR="00E44DE0" w:rsidRDefault="00000000">
      <w:pPr>
        <w:pStyle w:val="Heading4"/>
        <w:numPr>
          <w:ilvl w:val="0"/>
          <w:numId w:val="37"/>
        </w:numPr>
      </w:pPr>
      <w:r>
        <w:rPr>
          <w:b/>
          <w:bCs/>
        </w:rPr>
        <w:t>2.2.2 Installation Quality Audit (Liability Protection)</w:t>
      </w:r>
      <w:r>
        <w:t xml:space="preserve"> </w:t>
      </w:r>
    </w:p>
    <w:p w14:paraId="5983ABAA" w14:textId="77777777" w:rsidR="00E44DE0" w:rsidRDefault="00000000">
      <w:pPr>
        <w:numPr>
          <w:ilvl w:val="1"/>
          <w:numId w:val="37"/>
        </w:numPr>
      </w:pPr>
      <w:r>
        <w:rPr>
          <w:b/>
          <w:bCs/>
        </w:rPr>
        <w:t>Input:</w:t>
      </w:r>
      <w:r>
        <w:t xml:space="preserve"> As-built field performance data from the 5-day Power-On initial Commissioning; the 8,760-hour synthetic load profile baseline.</w:t>
      </w:r>
    </w:p>
    <w:p w14:paraId="2B5D7AC4" w14:textId="77777777" w:rsidR="00E44DE0" w:rsidRDefault="00000000">
      <w:pPr>
        <w:numPr>
          <w:ilvl w:val="1"/>
          <w:numId w:val="37"/>
        </w:numPr>
      </w:pPr>
      <w:r>
        <w:rPr>
          <w:b/>
          <w:bCs/>
        </w:rPr>
        <w:t>Process:</w:t>
      </w:r>
      <w:r>
        <w:t xml:space="preserve"> Measuring as-built mass airflow and charge accuracy against the Digital DNA design intent; utilizing Matrix Slicing to detect hard-wired overrides attempting to hide defects .</w:t>
      </w:r>
    </w:p>
    <w:p w14:paraId="3C3B7B28" w14:textId="77777777" w:rsidR="00E44DE0" w:rsidRDefault="00000000">
      <w:pPr>
        <w:numPr>
          <w:ilvl w:val="1"/>
          <w:numId w:val="37"/>
        </w:numPr>
      </w:pPr>
      <w:r>
        <w:rPr>
          <w:b/>
          <w:bCs/>
        </w:rPr>
        <w:t>Output:</w:t>
      </w:r>
      <w:r>
        <w:t xml:space="preserve"> A Digital Birth Certificate admissible for warranty use; a Verified Performance Certificate used to trigger the Segment 3 Warranty Reserve Release .</w:t>
      </w:r>
    </w:p>
    <w:p w14:paraId="50F09216" w14:textId="77777777" w:rsidR="00E44DE0" w:rsidRDefault="00000000">
      <w:pPr>
        <w:pStyle w:val="Heading3"/>
      </w:pPr>
      <w:bookmarkStart w:id="62" w:name="_Toc229320736"/>
      <w:r>
        <w:rPr>
          <w:b/>
          <w:bCs/>
        </w:rPr>
        <w:t>2.3 Market Segment 1: Finance &amp; Capital Markets</w:t>
      </w:r>
      <w:bookmarkEnd w:id="62"/>
      <w:r>
        <w:t xml:space="preserve"> </w:t>
      </w:r>
    </w:p>
    <w:p w14:paraId="382126B1" w14:textId="77777777" w:rsidR="00E44DE0" w:rsidRDefault="00000000">
      <w:r>
        <w:rPr>
          <w:b/>
          <w:bCs/>
        </w:rPr>
        <w:t>Objective:</w:t>
      </w:r>
      <w:r>
        <w:t xml:space="preserve"> To transform residential assets into "Verified High-Performance Collateral" and enhance borrower purchasing power through physics-verified cash flows.</w:t>
      </w:r>
    </w:p>
    <w:p w14:paraId="6AD61FD4" w14:textId="77777777" w:rsidR="00E44DE0" w:rsidRDefault="00000000">
      <w:pPr>
        <w:pStyle w:val="Heading4"/>
        <w:numPr>
          <w:ilvl w:val="0"/>
          <w:numId w:val="38"/>
        </w:numPr>
      </w:pPr>
      <w:r>
        <w:rPr>
          <w:b/>
          <w:bCs/>
        </w:rPr>
        <w:t>2.3.1 The "Digital DNA" Underwriting Feed</w:t>
      </w:r>
      <w:r>
        <w:t xml:space="preserve"> </w:t>
      </w:r>
    </w:p>
    <w:p w14:paraId="338FE574" w14:textId="77777777" w:rsidR="00E44DE0" w:rsidRDefault="00000000">
      <w:pPr>
        <w:numPr>
          <w:ilvl w:val="1"/>
          <w:numId w:val="38"/>
        </w:numPr>
      </w:pPr>
      <w:r>
        <w:rPr>
          <w:b/>
          <w:bCs/>
        </w:rPr>
        <w:t>Input:</w:t>
      </w:r>
      <w:r>
        <w:t xml:space="preserve"> Verified Target UA and Target CFM; the 8,760-hour synthetic load profile; actual performance deltas from the Normalized Physics Feed .</w:t>
      </w:r>
    </w:p>
    <w:p w14:paraId="32625A19" w14:textId="77777777" w:rsidR="00E44DE0" w:rsidRDefault="00000000">
      <w:pPr>
        <w:numPr>
          <w:ilvl w:val="1"/>
          <w:numId w:val="38"/>
        </w:numPr>
      </w:pPr>
      <w:r>
        <w:rPr>
          <w:b/>
          <w:bCs/>
        </w:rPr>
        <w:t>Process:</w:t>
      </w:r>
      <w:r>
        <w:t xml:space="preserve"> Converting verified energy savings into a predictable monthly "income equivalent"; recalculating Debt-to-Income (DTI) ratios based on proven lower Total Cost of Ownership .</w:t>
      </w:r>
    </w:p>
    <w:p w14:paraId="02274B73" w14:textId="77777777" w:rsidR="00E44DE0" w:rsidRDefault="00000000">
      <w:pPr>
        <w:numPr>
          <w:ilvl w:val="1"/>
          <w:numId w:val="38"/>
        </w:numPr>
      </w:pPr>
      <w:r>
        <w:rPr>
          <w:b/>
          <w:bCs/>
        </w:rPr>
        <w:t>Output:</w:t>
      </w:r>
      <w:r>
        <w:t xml:space="preserve"> Verified Cash Flow Payloads converting denied applications into sales; Asset-Specific Risk Scores determining likelihood of default due to operational expense spikes .</w:t>
      </w:r>
    </w:p>
    <w:p w14:paraId="38863080" w14:textId="77777777" w:rsidR="00E44DE0" w:rsidRDefault="00000000">
      <w:pPr>
        <w:pStyle w:val="Heading4"/>
        <w:numPr>
          <w:ilvl w:val="0"/>
          <w:numId w:val="38"/>
        </w:numPr>
      </w:pPr>
      <w:r>
        <w:rPr>
          <w:b/>
          <w:bCs/>
        </w:rPr>
        <w:t>2.3.2 The Asset Reliability Premium (Secondary Market Tagging)</w:t>
      </w:r>
      <w:r>
        <w:t xml:space="preserve"> </w:t>
      </w:r>
    </w:p>
    <w:p w14:paraId="0EFF8169" w14:textId="77777777" w:rsidR="00E44DE0" w:rsidRDefault="00000000">
      <w:pPr>
        <w:numPr>
          <w:ilvl w:val="1"/>
          <w:numId w:val="38"/>
        </w:numPr>
      </w:pPr>
      <w:r>
        <w:rPr>
          <w:b/>
          <w:bCs/>
        </w:rPr>
        <w:t>Input:</w:t>
      </w:r>
      <w:r>
        <w:t xml:space="preserve"> The Digital Birth Certificate and commissioning logs; "As-built" physical integrity verification data .</w:t>
      </w:r>
    </w:p>
    <w:p w14:paraId="7B145AA1" w14:textId="77777777" w:rsidR="00E44DE0" w:rsidRDefault="00000000">
      <w:pPr>
        <w:numPr>
          <w:ilvl w:val="1"/>
          <w:numId w:val="38"/>
        </w:numPr>
      </w:pPr>
      <w:r>
        <w:rPr>
          <w:b/>
          <w:bCs/>
        </w:rPr>
        <w:t>Process:</w:t>
      </w:r>
      <w:r>
        <w:t xml:space="preserve"> Tagging loans as "Verified High-Performance Assets" in secondary mortgage registries (e.g., MERS); quantifying the reduced volatility of the asset's value .</w:t>
      </w:r>
    </w:p>
    <w:p w14:paraId="56E5C940" w14:textId="77777777" w:rsidR="00E44DE0" w:rsidRDefault="00000000">
      <w:pPr>
        <w:numPr>
          <w:ilvl w:val="1"/>
          <w:numId w:val="38"/>
        </w:numPr>
      </w:pPr>
      <w:r>
        <w:rPr>
          <w:b/>
          <w:bCs/>
        </w:rPr>
        <w:t>Output:</w:t>
      </w:r>
      <w:r>
        <w:t xml:space="preserve"> Secondary Market Premium payloads securing basis point (bps) premiums on note sales; a cryptographically signed Verified Asset Tag .</w:t>
      </w:r>
    </w:p>
    <w:p w14:paraId="48667258" w14:textId="77777777" w:rsidR="00E44DE0" w:rsidRDefault="00000000">
      <w:pPr>
        <w:pStyle w:val="Heading3"/>
      </w:pPr>
      <w:bookmarkStart w:id="63" w:name="_Toc229320737"/>
      <w:r>
        <w:rPr>
          <w:b/>
          <w:bCs/>
        </w:rPr>
        <w:lastRenderedPageBreak/>
        <w:t>2.4 Market Segment 2: Insurance, Actuarial &amp; Legal</w:t>
      </w:r>
      <w:bookmarkEnd w:id="63"/>
      <w:r>
        <w:t xml:space="preserve"> </w:t>
      </w:r>
    </w:p>
    <w:p w14:paraId="1D3D687F" w14:textId="77777777" w:rsidR="00E44DE0" w:rsidRDefault="00000000">
      <w:r>
        <w:rPr>
          <w:b/>
          <w:bCs/>
        </w:rPr>
        <w:t>Objective:</w:t>
      </w:r>
      <w:r>
        <w:t xml:space="preserve"> To provide "Neutral Third-Party" evidence that compresses non-weather loss ratios and provides a "</w:t>
      </w:r>
      <w:proofErr w:type="spellStart"/>
      <w:r>
        <w:t>Katechon</w:t>
      </w:r>
      <w:proofErr w:type="spellEnd"/>
      <w:r>
        <w:t>" against construction litigation.</w:t>
      </w:r>
    </w:p>
    <w:p w14:paraId="57DE9166" w14:textId="77777777" w:rsidR="00E44DE0" w:rsidRDefault="00000000">
      <w:pPr>
        <w:pStyle w:val="Heading4"/>
        <w:numPr>
          <w:ilvl w:val="0"/>
          <w:numId w:val="39"/>
        </w:numPr>
      </w:pPr>
      <w:r>
        <w:rPr>
          <w:b/>
          <w:bCs/>
        </w:rPr>
        <w:t>2.4.1 Active Mold Litigation Prevention (The ERV Loop)</w:t>
      </w:r>
      <w:r>
        <w:t xml:space="preserve"> </w:t>
      </w:r>
    </w:p>
    <w:p w14:paraId="107CD7EA" w14:textId="77777777" w:rsidR="00E44DE0" w:rsidRDefault="00000000">
      <w:pPr>
        <w:numPr>
          <w:ilvl w:val="1"/>
          <w:numId w:val="39"/>
        </w:numPr>
      </w:pPr>
      <w:r>
        <w:rPr>
          <w:b/>
          <w:bCs/>
        </w:rPr>
        <w:t>Input:</w:t>
      </w:r>
      <w:r>
        <w:t xml:space="preserve"> Real-time volumetric flow rates from the ERV; smart breaker data detecting depressurizing appliances; indoor/outdoor humidity and pressure differentials .</w:t>
      </w:r>
    </w:p>
    <w:p w14:paraId="2073E807" w14:textId="77777777" w:rsidR="00E44DE0" w:rsidRDefault="00000000">
      <w:pPr>
        <w:numPr>
          <w:ilvl w:val="1"/>
          <w:numId w:val="39"/>
        </w:numPr>
      </w:pPr>
      <w:r>
        <w:rPr>
          <w:b/>
          <w:bCs/>
        </w:rPr>
        <w:t>Process:</w:t>
      </w:r>
      <w:r>
        <w:t xml:space="preserve"> Verifying the ERV provided sufficient makeup air to maintain neutral pressure; utilizing the PINN to prove unconditioned humid air did not infiltrate the envelope .</w:t>
      </w:r>
    </w:p>
    <w:p w14:paraId="19991AFA" w14:textId="77777777" w:rsidR="00E44DE0" w:rsidRDefault="00000000">
      <w:pPr>
        <w:numPr>
          <w:ilvl w:val="1"/>
          <w:numId w:val="39"/>
        </w:numPr>
      </w:pPr>
      <w:r>
        <w:rPr>
          <w:b/>
          <w:bCs/>
        </w:rPr>
        <w:t>Output:</w:t>
      </w:r>
      <w:r>
        <w:t xml:space="preserve"> An Immutable History Ledger proving moisture-driven mold growth was impossible; a verified Liability Shield to dismiss "construction defect" claims .</w:t>
      </w:r>
    </w:p>
    <w:p w14:paraId="21ACB8C5" w14:textId="77777777" w:rsidR="00E44DE0" w:rsidRDefault="00000000">
      <w:pPr>
        <w:pStyle w:val="Heading4"/>
        <w:numPr>
          <w:ilvl w:val="0"/>
          <w:numId w:val="39"/>
        </w:numPr>
      </w:pPr>
      <w:r>
        <w:rPr>
          <w:b/>
          <w:bCs/>
        </w:rPr>
        <w:t>2.4.2 Resilience Scoring (Risk Monitoring)</w:t>
      </w:r>
      <w:r>
        <w:t xml:space="preserve"> </w:t>
      </w:r>
    </w:p>
    <w:p w14:paraId="7A393022" w14:textId="77777777" w:rsidR="00E44DE0" w:rsidRDefault="00000000">
      <w:pPr>
        <w:numPr>
          <w:ilvl w:val="1"/>
          <w:numId w:val="39"/>
        </w:numPr>
      </w:pPr>
      <w:r>
        <w:rPr>
          <w:b/>
          <w:bCs/>
        </w:rPr>
        <w:t>Input:</w:t>
      </w:r>
      <w:r>
        <w:t xml:space="preserve"> 1Hz electrical harmonics for fire risk detection; water flow signatures for leak detection; envelope degradation data .</w:t>
      </w:r>
    </w:p>
    <w:p w14:paraId="7EF88EFF" w14:textId="77777777" w:rsidR="00E44DE0" w:rsidRDefault="00000000">
      <w:pPr>
        <w:numPr>
          <w:ilvl w:val="1"/>
          <w:numId w:val="39"/>
        </w:numPr>
      </w:pPr>
      <w:r>
        <w:rPr>
          <w:b/>
          <w:bCs/>
        </w:rPr>
        <w:t>Process:</w:t>
      </w:r>
      <w:r>
        <w:t xml:space="preserve"> Generating a Resilience Score by dynamically comparing the home's performance against its 5-Sigma cohort average; distinguishing user-induced risk from structural failure .</w:t>
      </w:r>
    </w:p>
    <w:p w14:paraId="2092B637" w14:textId="77777777" w:rsidR="00E44DE0" w:rsidRDefault="00000000">
      <w:pPr>
        <w:numPr>
          <w:ilvl w:val="1"/>
          <w:numId w:val="39"/>
        </w:numPr>
      </w:pPr>
      <w:r>
        <w:rPr>
          <w:b/>
          <w:bCs/>
        </w:rPr>
        <w:t>Output:</w:t>
      </w:r>
      <w:r>
        <w:t xml:space="preserve"> An Institutional Risk Feed for dynamic premium adjustments; a Certifiable Audit Trail ensuring legal admissibility .</w:t>
      </w:r>
    </w:p>
    <w:p w14:paraId="37650CE9" w14:textId="77777777" w:rsidR="00E44DE0" w:rsidRDefault="00000000">
      <w:pPr>
        <w:pStyle w:val="Heading3"/>
      </w:pPr>
      <w:bookmarkStart w:id="64" w:name="_Toc229320738"/>
      <w:r>
        <w:rPr>
          <w:b/>
          <w:bCs/>
        </w:rPr>
        <w:t>2.5 Market Segment 3: Real Estate Development (Builders)</w:t>
      </w:r>
      <w:bookmarkEnd w:id="64"/>
      <w:r>
        <w:t xml:space="preserve"> </w:t>
      </w:r>
    </w:p>
    <w:p w14:paraId="3AAD1193" w14:textId="77777777" w:rsidR="00E44DE0" w:rsidRDefault="00000000">
      <w:r>
        <w:rPr>
          <w:b/>
          <w:bCs/>
        </w:rPr>
        <w:t>Objective:</w:t>
      </w:r>
      <w:r>
        <w:t xml:space="preserve"> To codify the Margin Recovery logic required to release capital currently frozen by construction uncertainty and legacy "snapshot" testing.</w:t>
      </w:r>
    </w:p>
    <w:p w14:paraId="1C880075" w14:textId="77777777" w:rsidR="00E44DE0" w:rsidRDefault="00000000">
      <w:pPr>
        <w:pStyle w:val="Heading4"/>
        <w:numPr>
          <w:ilvl w:val="0"/>
          <w:numId w:val="40"/>
        </w:numPr>
      </w:pPr>
      <w:r>
        <w:rPr>
          <w:b/>
          <w:bCs/>
        </w:rPr>
        <w:t>2.5.1 The Digital Birth Certificate (Lifecycle Phase 4: Commissioning)</w:t>
      </w:r>
      <w:r>
        <w:t xml:space="preserve"> </w:t>
      </w:r>
    </w:p>
    <w:p w14:paraId="288649FE" w14:textId="77777777" w:rsidR="00E44DE0" w:rsidRDefault="00000000">
      <w:pPr>
        <w:numPr>
          <w:ilvl w:val="1"/>
          <w:numId w:val="40"/>
        </w:numPr>
      </w:pPr>
      <w:r>
        <w:rPr>
          <w:b/>
          <w:bCs/>
        </w:rPr>
        <w:t>Input:</w:t>
      </w:r>
      <w:r>
        <w:t xml:space="preserve"> 5-day Power-On commissioning data; real-time mass airflow and enthalpy measurements; 1Hz electrical power signatures . The 5-day Power-On commissioning data is structured as two independently signed halves per the HPM Functional Requirements Section 3: an envelope half (Section 3.2 — resistive injection) and an HVAC half (Section 3.3 — cooling/heating capacity). The Clearinghouse stores both halves as separate cryptographic anchors so that downstream institutional consumers can subscribe to either or both as the basis for actuarial decisions.</w:t>
      </w:r>
    </w:p>
    <w:p w14:paraId="42D165AC" w14:textId="77777777" w:rsidR="00E44DE0" w:rsidRDefault="00000000">
      <w:pPr>
        <w:numPr>
          <w:ilvl w:val="1"/>
          <w:numId w:val="40"/>
        </w:numPr>
      </w:pPr>
      <w:r>
        <w:rPr>
          <w:b/>
          <w:bCs/>
        </w:rPr>
        <w:t>Process:</w:t>
      </w:r>
      <w:r>
        <w:t xml:space="preserve"> Comparing actual field performance against the 8,760-hour four season synthetic load profile; identifying installation errors deviating from design intent .</w:t>
      </w:r>
    </w:p>
    <w:p w14:paraId="76364D80" w14:textId="77777777" w:rsidR="00E44DE0" w:rsidRDefault="00000000">
      <w:pPr>
        <w:numPr>
          <w:ilvl w:val="1"/>
          <w:numId w:val="40"/>
        </w:numPr>
      </w:pPr>
      <w:r>
        <w:rPr>
          <w:b/>
          <w:bCs/>
        </w:rPr>
        <w:lastRenderedPageBreak/>
        <w:t>Output:</w:t>
      </w:r>
      <w:r>
        <w:t xml:space="preserve"> A cryptographically signed Digital Birth Certificate replacing third-party HERS raters; an immutable CO-Ready Audit .</w:t>
      </w:r>
    </w:p>
    <w:p w14:paraId="1C48156C" w14:textId="77777777" w:rsidR="00E44DE0" w:rsidRDefault="00000000">
      <w:pPr>
        <w:pStyle w:val="Heading4"/>
        <w:numPr>
          <w:ilvl w:val="0"/>
          <w:numId w:val="40"/>
        </w:numPr>
      </w:pPr>
      <w:r>
        <w:rPr>
          <w:b/>
          <w:bCs/>
        </w:rPr>
        <w:t>2.5.2 Warranty Reserve Release (Active Liability Protection)</w:t>
      </w:r>
      <w:r>
        <w:t xml:space="preserve"> </w:t>
      </w:r>
    </w:p>
    <w:p w14:paraId="146A95B2" w14:textId="77777777" w:rsidR="00E44DE0" w:rsidRDefault="00000000">
      <w:pPr>
        <w:numPr>
          <w:ilvl w:val="1"/>
          <w:numId w:val="40"/>
        </w:numPr>
      </w:pPr>
      <w:r>
        <w:rPr>
          <w:b/>
          <w:bCs/>
        </w:rPr>
        <w:t>Input:</w:t>
      </w:r>
      <w:r>
        <w:t xml:space="preserve"> Ongoing performance logs from the first 90 days of occupancy; Normalized Physics Feed data .</w:t>
      </w:r>
    </w:p>
    <w:p w14:paraId="57FD8FC0" w14:textId="77777777" w:rsidR="00E44DE0" w:rsidRDefault="00000000">
      <w:pPr>
        <w:numPr>
          <w:ilvl w:val="1"/>
          <w:numId w:val="40"/>
        </w:numPr>
      </w:pPr>
      <w:r>
        <w:rPr>
          <w:b/>
          <w:bCs/>
        </w:rPr>
        <w:t>Process:</w:t>
      </w:r>
      <w:r>
        <w:t xml:space="preserve"> Monitoring the asset for 5-Sigma performance consistency relative to its cohort; detecting latent defects before post-occupancy callbacks .</w:t>
      </w:r>
    </w:p>
    <w:p w14:paraId="35809A88" w14:textId="77777777" w:rsidR="00E44DE0" w:rsidRDefault="00000000">
      <w:pPr>
        <w:numPr>
          <w:ilvl w:val="1"/>
          <w:numId w:val="40"/>
        </w:numPr>
      </w:pPr>
      <w:r>
        <w:rPr>
          <w:b/>
          <w:bCs/>
        </w:rPr>
        <w:t>Output:</w:t>
      </w:r>
      <w:r>
        <w:t xml:space="preserve"> A Reliability Release pushed to the builder’s treasury system; the accounting </w:t>
      </w:r>
      <w:proofErr w:type="gramStart"/>
      <w:r>
        <w:t>unlock</w:t>
      </w:r>
      <w:proofErr w:type="gramEnd"/>
      <w:r>
        <w:t xml:space="preserve"> of 30–50% of trapped warranty reserves .</w:t>
      </w:r>
    </w:p>
    <w:p w14:paraId="21B52ED2" w14:textId="77777777" w:rsidR="00E44DE0" w:rsidRDefault="00000000">
      <w:pPr>
        <w:pStyle w:val="Heading3"/>
      </w:pPr>
      <w:bookmarkStart w:id="65" w:name="_Toc229320739"/>
      <w:r>
        <w:rPr>
          <w:b/>
          <w:bCs/>
        </w:rPr>
        <w:t>2.6 Market Segment 6: Regulatory Agencies &amp; Standards Organizations</w:t>
      </w:r>
      <w:bookmarkEnd w:id="65"/>
      <w:r>
        <w:t xml:space="preserve"> </w:t>
      </w:r>
    </w:p>
    <w:p w14:paraId="3ED1F8D8" w14:textId="77777777" w:rsidR="00E44DE0" w:rsidRDefault="00000000">
      <w:r>
        <w:rPr>
          <w:b/>
          <w:bCs/>
        </w:rPr>
        <w:t>Objective:</w:t>
      </w:r>
      <w:r>
        <w:t xml:space="preserve"> To provide neutral verification that automates energy code compliance and replaces "Theoretical Safety Factors" with empirical field truth.</w:t>
      </w:r>
    </w:p>
    <w:p w14:paraId="1844460C" w14:textId="77777777" w:rsidR="00E44DE0" w:rsidRDefault="00000000">
      <w:pPr>
        <w:pStyle w:val="Heading4"/>
        <w:numPr>
          <w:ilvl w:val="0"/>
          <w:numId w:val="41"/>
        </w:numPr>
      </w:pPr>
      <w:r>
        <w:rPr>
          <w:b/>
          <w:bCs/>
        </w:rPr>
        <w:t>2.6.1 Automated Compliance Verification</w:t>
      </w:r>
      <w:r>
        <w:t xml:space="preserve"> </w:t>
      </w:r>
    </w:p>
    <w:p w14:paraId="0E3FEA18" w14:textId="77777777" w:rsidR="00E44DE0" w:rsidRDefault="00000000">
      <w:pPr>
        <w:numPr>
          <w:ilvl w:val="1"/>
          <w:numId w:val="41"/>
        </w:numPr>
      </w:pPr>
      <w:r>
        <w:rPr>
          <w:b/>
          <w:bCs/>
        </w:rPr>
        <w:t>Input:</w:t>
      </w:r>
      <w:r>
        <w:t xml:space="preserve"> 1Hz field performance data from the Integrity Layer; architectural intent logs (ACCA Manual J, S, D, P, RS) .</w:t>
      </w:r>
    </w:p>
    <w:p w14:paraId="450442E1" w14:textId="77777777" w:rsidR="00E44DE0" w:rsidRDefault="00000000">
      <w:pPr>
        <w:numPr>
          <w:ilvl w:val="1"/>
          <w:numId w:val="41"/>
        </w:numPr>
      </w:pPr>
      <w:r>
        <w:rPr>
          <w:b/>
          <w:bCs/>
        </w:rPr>
        <w:t>Process:</w:t>
      </w:r>
      <w:r>
        <w:t xml:space="preserve"> Automatically mapping ground-truth data to regulatory requirements (e.g., CEC); cryptographically timestamping every report .</w:t>
      </w:r>
    </w:p>
    <w:p w14:paraId="4F86995D" w14:textId="77777777" w:rsidR="00E44DE0" w:rsidRDefault="00000000">
      <w:pPr>
        <w:numPr>
          <w:ilvl w:val="1"/>
          <w:numId w:val="41"/>
        </w:numPr>
      </w:pPr>
      <w:r>
        <w:rPr>
          <w:b/>
          <w:bCs/>
        </w:rPr>
        <w:t>Output:</w:t>
      </w:r>
      <w:r>
        <w:t xml:space="preserve"> Automated Compliance Reports bypassing manual spot-checks; increased compliance velocity reducing administrative overhead .</w:t>
      </w:r>
    </w:p>
    <w:p w14:paraId="79B666A3" w14:textId="77777777" w:rsidR="00E44DE0" w:rsidRDefault="00000000">
      <w:pPr>
        <w:pStyle w:val="Heading4"/>
        <w:numPr>
          <w:ilvl w:val="0"/>
          <w:numId w:val="41"/>
        </w:numPr>
      </w:pPr>
      <w:r>
        <w:rPr>
          <w:b/>
          <w:bCs/>
        </w:rPr>
        <w:t>2.6.2 The Empirical Standards Feed (ASHRAE/NAHB/ICC)</w:t>
      </w:r>
      <w:r>
        <w:t xml:space="preserve"> </w:t>
      </w:r>
    </w:p>
    <w:p w14:paraId="658C83F5" w14:textId="77777777" w:rsidR="00E44DE0" w:rsidRDefault="00000000">
      <w:pPr>
        <w:numPr>
          <w:ilvl w:val="1"/>
          <w:numId w:val="41"/>
        </w:numPr>
      </w:pPr>
      <w:r>
        <w:rPr>
          <w:b/>
          <w:bCs/>
        </w:rPr>
        <w:t>Input:</w:t>
      </w:r>
      <w:r>
        <w:t xml:space="preserve"> Aggregated, anonymized cohort performance data; cross-climate zone performance deltas for building materials .</w:t>
      </w:r>
    </w:p>
    <w:p w14:paraId="5AAF3AE0" w14:textId="77777777" w:rsidR="00E44DE0" w:rsidRDefault="00000000">
      <w:pPr>
        <w:numPr>
          <w:ilvl w:val="1"/>
          <w:numId w:val="41"/>
        </w:numPr>
      </w:pPr>
      <w:r>
        <w:rPr>
          <w:b/>
          <w:bCs/>
        </w:rPr>
        <w:t>Process:</w:t>
      </w:r>
      <w:r>
        <w:t xml:space="preserve"> Replacing "Defensive Theoretical Safety Factors" with real-world physics data; identifying systemic over-engineering in current code requirements .</w:t>
      </w:r>
    </w:p>
    <w:p w14:paraId="0F727A4C" w14:textId="77777777" w:rsidR="00E44DE0" w:rsidRDefault="00000000">
      <w:pPr>
        <w:numPr>
          <w:ilvl w:val="1"/>
          <w:numId w:val="41"/>
        </w:numPr>
      </w:pPr>
      <w:r>
        <w:rPr>
          <w:b/>
          <w:bCs/>
        </w:rPr>
        <w:t>Output:</w:t>
      </w:r>
      <w:r>
        <w:t xml:space="preserve"> National/Regional Performance Baselines sold as high-value data subscriptions; an empirical Material Performance Index .</w:t>
      </w:r>
    </w:p>
    <w:p w14:paraId="35CA5DB2" w14:textId="77777777" w:rsidR="00E44DE0" w:rsidRDefault="00E44DE0"/>
    <w:p w14:paraId="2F795653" w14:textId="77777777" w:rsidR="00E44DE0" w:rsidRDefault="00000000">
      <w:pPr>
        <w:pStyle w:val="Heading2"/>
        <w:rPr>
          <w:b/>
          <w:bCs/>
          <w:sz w:val="28"/>
          <w:szCs w:val="28"/>
        </w:rPr>
      </w:pPr>
      <w:bookmarkStart w:id="66" w:name="_Toc229320740"/>
      <w:r>
        <w:rPr>
          <w:b/>
          <w:bCs/>
          <w:sz w:val="28"/>
          <w:szCs w:val="28"/>
        </w:rPr>
        <w:t>3. Business Model Transformations</w:t>
      </w:r>
      <w:bookmarkEnd w:id="66"/>
    </w:p>
    <w:p w14:paraId="5CF16DC4" w14:textId="77777777" w:rsidR="00E44DE0" w:rsidRDefault="00000000">
      <w:pPr>
        <w:pStyle w:val="Heading3"/>
        <w:numPr>
          <w:ilvl w:val="0"/>
          <w:numId w:val="42"/>
        </w:numPr>
      </w:pPr>
      <w:bookmarkStart w:id="67" w:name="_Toc229320741"/>
      <w:r>
        <w:rPr>
          <w:b/>
          <w:bCs/>
        </w:rPr>
        <w:t>3.1 Market Segments 3 &amp; 4 - Supply Chain Disintermediation</w:t>
      </w:r>
      <w:bookmarkEnd w:id="67"/>
      <w:r>
        <w:t xml:space="preserve"> </w:t>
      </w:r>
    </w:p>
    <w:p w14:paraId="350CDA36" w14:textId="77777777" w:rsidR="00E44DE0" w:rsidRDefault="00000000">
      <w:pPr>
        <w:numPr>
          <w:ilvl w:val="1"/>
          <w:numId w:val="42"/>
        </w:numPr>
      </w:pPr>
      <w:r>
        <w:rPr>
          <w:b/>
          <w:bCs/>
        </w:rPr>
        <w:t>Input:</w:t>
      </w:r>
      <w:r>
        <w:t xml:space="preserve"> Builder's verified "Digital DNA" model; historical procurement data; real-time OEM factory production schedules .</w:t>
      </w:r>
    </w:p>
    <w:p w14:paraId="491C1392" w14:textId="77777777" w:rsidR="00E44DE0" w:rsidRDefault="00000000">
      <w:pPr>
        <w:numPr>
          <w:ilvl w:val="1"/>
          <w:numId w:val="42"/>
        </w:numPr>
      </w:pPr>
      <w:r>
        <w:rPr>
          <w:b/>
          <w:bCs/>
        </w:rPr>
        <w:lastRenderedPageBreak/>
        <w:t>Process:</w:t>
      </w:r>
      <w:r>
        <w:t xml:space="preserve"> Bypassing wholesalers by routing Just-in-Time Purchase Orders directly from the design intent to the factory floor; identifying dead capital .</w:t>
      </w:r>
    </w:p>
    <w:p w14:paraId="5527AC98" w14:textId="77777777" w:rsidR="00E44DE0" w:rsidRDefault="00000000">
      <w:pPr>
        <w:numPr>
          <w:ilvl w:val="1"/>
          <w:numId w:val="42"/>
        </w:numPr>
      </w:pPr>
      <w:r>
        <w:rPr>
          <w:b/>
          <w:bCs/>
        </w:rPr>
        <w:t>Output:</w:t>
      </w:r>
      <w:r>
        <w:t xml:space="preserve"> Reclaimed 25-45% markup (Disintermediation Dividend); direct real-time field demand visibility for OEMs .</w:t>
      </w:r>
    </w:p>
    <w:p w14:paraId="6E1513EA" w14:textId="77777777" w:rsidR="00E44DE0" w:rsidRDefault="00000000">
      <w:pPr>
        <w:pStyle w:val="Heading3"/>
        <w:numPr>
          <w:ilvl w:val="0"/>
          <w:numId w:val="42"/>
        </w:numPr>
      </w:pPr>
      <w:bookmarkStart w:id="68" w:name="_Toc229320742"/>
      <w:r>
        <w:rPr>
          <w:b/>
          <w:bCs/>
        </w:rPr>
        <w:t>3.2 Market Segment 5: Professional Services, Trades</w:t>
      </w:r>
      <w:bookmarkEnd w:id="68"/>
      <w:r>
        <w:t xml:space="preserve"> </w:t>
      </w:r>
    </w:p>
    <w:p w14:paraId="39A9E9E6" w14:textId="77777777" w:rsidR="00E44DE0" w:rsidRDefault="00000000">
      <w:pPr>
        <w:numPr>
          <w:ilvl w:val="1"/>
          <w:numId w:val="42"/>
        </w:numPr>
      </w:pPr>
      <w:r>
        <w:rPr>
          <w:b/>
          <w:bCs/>
        </w:rPr>
        <w:t>Input:</w:t>
      </w:r>
      <w:r>
        <w:t xml:space="preserve"> Diagnosed Job Tickets from the HPM; contractor "truck-roll" cost data .</w:t>
      </w:r>
    </w:p>
    <w:p w14:paraId="467EF9FD" w14:textId="77777777" w:rsidR="00E44DE0" w:rsidRDefault="00000000">
      <w:pPr>
        <w:numPr>
          <w:ilvl w:val="1"/>
          <w:numId w:val="42"/>
        </w:numPr>
      </w:pPr>
      <w:r>
        <w:rPr>
          <w:b/>
          <w:bCs/>
        </w:rPr>
        <w:t>Process:</w:t>
      </w:r>
      <w:r>
        <w:t xml:space="preserve"> Delivering the exact failure mode to the contractor before dispatch; eliminating redundant diagnostic visits .</w:t>
      </w:r>
    </w:p>
    <w:p w14:paraId="10494C29" w14:textId="77777777" w:rsidR="00E44DE0" w:rsidRDefault="00000000">
      <w:pPr>
        <w:numPr>
          <w:ilvl w:val="1"/>
          <w:numId w:val="42"/>
        </w:numPr>
      </w:pPr>
      <w:r>
        <w:rPr>
          <w:b/>
          <w:bCs/>
        </w:rPr>
        <w:t>Output:</w:t>
      </w:r>
      <w:r>
        <w:t xml:space="preserve"> High-Precision Fulfillment reducing diagnostic waste and lowering customer acquisition costs .</w:t>
      </w:r>
    </w:p>
    <w:p w14:paraId="66FB6DED" w14:textId="77777777" w:rsidR="00E44DE0" w:rsidRDefault="00000000">
      <w:pPr>
        <w:pStyle w:val="Heading3"/>
        <w:numPr>
          <w:ilvl w:val="0"/>
          <w:numId w:val="42"/>
        </w:numPr>
      </w:pPr>
      <w:bookmarkStart w:id="69" w:name="_Toc229320743"/>
      <w:r>
        <w:rPr>
          <w:b/>
          <w:bCs/>
        </w:rPr>
        <w:t>3.3 Market Segment 3: Warranty Reserve Release</w:t>
      </w:r>
      <w:bookmarkEnd w:id="69"/>
      <w:r>
        <w:t xml:space="preserve"> </w:t>
      </w:r>
    </w:p>
    <w:p w14:paraId="56B4FD4E" w14:textId="77777777" w:rsidR="00E44DE0" w:rsidRDefault="00000000">
      <w:pPr>
        <w:numPr>
          <w:ilvl w:val="1"/>
          <w:numId w:val="42"/>
        </w:numPr>
      </w:pPr>
      <w:r>
        <w:rPr>
          <w:b/>
          <w:bCs/>
        </w:rPr>
        <w:t>Input:</w:t>
      </w:r>
      <w:r>
        <w:t xml:space="preserve"> 5-day commissioning results; 5-Sigma performance consistency logs .</w:t>
      </w:r>
    </w:p>
    <w:p w14:paraId="78667BDD" w14:textId="77777777" w:rsidR="00E44DE0" w:rsidRDefault="00000000">
      <w:pPr>
        <w:numPr>
          <w:ilvl w:val="1"/>
          <w:numId w:val="42"/>
        </w:numPr>
      </w:pPr>
      <w:r>
        <w:rPr>
          <w:b/>
          <w:bCs/>
        </w:rPr>
        <w:t>Process:</w:t>
      </w:r>
      <w:r>
        <w:t xml:space="preserve"> Automating the "failing" of the test to force pre-closing rectification; issuing a Reliability Release once initial occupancy proves design intent .</w:t>
      </w:r>
    </w:p>
    <w:p w14:paraId="0EAAC805" w14:textId="77777777" w:rsidR="00E44DE0" w:rsidRDefault="00000000">
      <w:pPr>
        <w:numPr>
          <w:ilvl w:val="1"/>
          <w:numId w:val="42"/>
        </w:numPr>
      </w:pPr>
      <w:r>
        <w:rPr>
          <w:b/>
          <w:bCs/>
        </w:rPr>
        <w:t>Output:</w:t>
      </w:r>
      <w:r>
        <w:t xml:space="preserve"> The accounting release of 30-50% of trapped warranty reserves, converting liability into liquid margin recovery .</w:t>
      </w:r>
    </w:p>
    <w:p w14:paraId="48C82F86" w14:textId="77777777" w:rsidR="00E44DE0" w:rsidRDefault="00E44DE0">
      <w:pPr>
        <w:rPr>
          <w:sz w:val="28"/>
          <w:szCs w:val="28"/>
        </w:rPr>
      </w:pPr>
    </w:p>
    <w:p w14:paraId="42D3FB00" w14:textId="77777777" w:rsidR="00E44DE0" w:rsidRDefault="00000000">
      <w:pPr>
        <w:pStyle w:val="Heading2"/>
        <w:rPr>
          <w:b/>
          <w:bCs/>
          <w:sz w:val="28"/>
          <w:szCs w:val="28"/>
        </w:rPr>
      </w:pPr>
      <w:bookmarkStart w:id="70" w:name="_Toc229320744"/>
      <w:r>
        <w:rPr>
          <w:b/>
          <w:bCs/>
          <w:sz w:val="28"/>
          <w:szCs w:val="28"/>
        </w:rPr>
        <w:t>4. The Siphon: All 10 Home Lifecycle Phases (Pricing Algorithms)</w:t>
      </w:r>
      <w:bookmarkEnd w:id="70"/>
    </w:p>
    <w:p w14:paraId="5951083D" w14:textId="77777777" w:rsidR="00E44DE0" w:rsidRDefault="00000000">
      <w:r>
        <w:rPr>
          <w:b/>
          <w:bCs/>
        </w:rPr>
        <w:t>Objective:</w:t>
      </w:r>
      <w:r>
        <w:t xml:space="preserve"> To automate the extraction of value from every institutional participant by monetizing the "Before vs. After" delta in operational and financial performance across the entire asset timeline.</w:t>
      </w:r>
    </w:p>
    <w:p w14:paraId="14B5F2D1" w14:textId="77777777" w:rsidR="00E44DE0" w:rsidRDefault="00000000">
      <w:pPr>
        <w:pStyle w:val="Heading3"/>
      </w:pPr>
      <w:bookmarkStart w:id="71" w:name="_Toc229320745"/>
      <w:r>
        <w:rPr>
          <w:b/>
          <w:bCs/>
        </w:rPr>
        <w:t>4.1 Lifecycle Phases 1 &amp; 2: Planning &amp; Pre-Construction</w:t>
      </w:r>
      <w:bookmarkEnd w:id="71"/>
    </w:p>
    <w:p w14:paraId="2330E98F" w14:textId="77777777" w:rsidR="00E44DE0" w:rsidRDefault="00000000">
      <w:pPr>
        <w:pStyle w:val="Heading4"/>
        <w:numPr>
          <w:ilvl w:val="0"/>
          <w:numId w:val="43"/>
        </w:numPr>
      </w:pPr>
      <w:r>
        <w:rPr>
          <w:b/>
          <w:bCs/>
        </w:rPr>
        <w:t>4.1.1 Segment Validation Fee (The Absorption Tax)</w:t>
      </w:r>
    </w:p>
    <w:p w14:paraId="267CDE2E" w14:textId="77777777" w:rsidR="00E44DE0" w:rsidRDefault="00000000">
      <w:pPr>
        <w:numPr>
          <w:ilvl w:val="1"/>
          <w:numId w:val="43"/>
        </w:numPr>
      </w:pPr>
      <w:r>
        <w:rPr>
          <w:b/>
          <w:bCs/>
        </w:rPr>
        <w:t>Input:</w:t>
      </w:r>
      <w:r>
        <w:t xml:space="preserve"> Lot count, Census block group data, and regional market complexity factors.</w:t>
      </w:r>
    </w:p>
    <w:p w14:paraId="1F644C47" w14:textId="77777777" w:rsidR="00E44DE0" w:rsidRDefault="00000000">
      <w:pPr>
        <w:numPr>
          <w:ilvl w:val="1"/>
          <w:numId w:val="43"/>
        </w:numPr>
      </w:pPr>
      <w:r>
        <w:rPr>
          <w:b/>
          <w:bCs/>
        </w:rPr>
        <w:t>Process:</w:t>
      </w:r>
      <w:r>
        <w:t xml:space="preserve"> The Clearinghouse calculates a predictive absorption report to eliminate land-acquisition speculation for Market Segment 3 (Builders).</w:t>
      </w:r>
    </w:p>
    <w:p w14:paraId="65CEF0CB" w14:textId="77777777" w:rsidR="00E44DE0" w:rsidRDefault="00000000">
      <w:pPr>
        <w:numPr>
          <w:ilvl w:val="1"/>
          <w:numId w:val="43"/>
        </w:numPr>
      </w:pPr>
      <w:r>
        <w:rPr>
          <w:b/>
          <w:bCs/>
        </w:rPr>
        <w:t>Output (Revenue):</w:t>
      </w:r>
      <w:r>
        <w:t xml:space="preserve"> Algorithm</w:t>
      </w:r>
      <w:r>
        <w:rPr>
          <w:rStyle w:val="FootnoteReference"/>
        </w:rPr>
        <w:footnoteReference w:id="1"/>
      </w:r>
      <w:r>
        <w:br/>
      </w:r>
      <w:r>
        <w:rPr>
          <w:i/>
          <w:iCs/>
        </w:rPr>
        <w:t xml:space="preserve">Fee = (# of </w:t>
      </w:r>
      <w:proofErr w:type="gramStart"/>
      <w:r>
        <w:rPr>
          <w:i/>
          <w:iCs/>
        </w:rPr>
        <w:t>Lots</w:t>
      </w:r>
      <w:proofErr w:type="gramEnd"/>
      <w:r>
        <w:rPr>
          <w:i/>
          <w:iCs/>
        </w:rPr>
        <w:t xml:space="preserve"> x AIVU </w:t>
      </w:r>
      <w:proofErr w:type="spellStart"/>
      <w:r>
        <w:rPr>
          <w:i/>
          <w:iCs/>
        </w:rPr>
        <w:t>Baserate</w:t>
      </w:r>
      <w:proofErr w:type="spellEnd"/>
      <w:r>
        <w:rPr>
          <w:i/>
          <w:iCs/>
        </w:rPr>
        <w:t>) + Market Complexity Factor</w:t>
      </w:r>
    </w:p>
    <w:p w14:paraId="4EF89401" w14:textId="77777777" w:rsidR="00E44DE0" w:rsidRDefault="00000000">
      <w:pPr>
        <w:pStyle w:val="Heading4"/>
        <w:numPr>
          <w:ilvl w:val="0"/>
          <w:numId w:val="43"/>
        </w:numPr>
      </w:pPr>
      <w:r>
        <w:rPr>
          <w:b/>
          <w:bCs/>
        </w:rPr>
        <w:lastRenderedPageBreak/>
        <w:t xml:space="preserve">4.1.2 </w:t>
      </w:r>
      <w:proofErr w:type="spellStart"/>
      <w:r>
        <w:rPr>
          <w:b/>
          <w:bCs/>
        </w:rPr>
        <w:t>CapEx</w:t>
      </w:r>
      <w:proofErr w:type="spellEnd"/>
      <w:r>
        <w:rPr>
          <w:b/>
          <w:bCs/>
        </w:rPr>
        <w:t xml:space="preserve"> Dividend License (The Downsizing Royalty)</w:t>
      </w:r>
    </w:p>
    <w:p w14:paraId="3152D8A9" w14:textId="77777777" w:rsidR="00E44DE0" w:rsidRDefault="00000000">
      <w:pPr>
        <w:numPr>
          <w:ilvl w:val="1"/>
          <w:numId w:val="43"/>
        </w:numPr>
      </w:pPr>
      <w:r>
        <w:rPr>
          <w:b/>
          <w:bCs/>
        </w:rPr>
        <w:t>Input:</w:t>
      </w:r>
      <w:r>
        <w:t xml:space="preserve"> Difference between legacy HVAC costs (estimated via Manual J/S) and AIVU-verified rightsized equipment costs.</w:t>
      </w:r>
    </w:p>
    <w:p w14:paraId="524E8D41" w14:textId="77777777" w:rsidR="00E44DE0" w:rsidRDefault="00000000">
      <w:pPr>
        <w:numPr>
          <w:ilvl w:val="1"/>
          <w:numId w:val="43"/>
        </w:numPr>
      </w:pPr>
      <w:r>
        <w:rPr>
          <w:b/>
          <w:bCs/>
        </w:rPr>
        <w:t>Process:</w:t>
      </w:r>
      <w:r>
        <w:t xml:space="preserve"> Capturing 25% of the $400–$600 savings generated by using physics-verified data to downsize HVAC equipment by 0.5 to 1.5 tons.</w:t>
      </w:r>
    </w:p>
    <w:p w14:paraId="2A8DE9DB" w14:textId="77777777" w:rsidR="00E44DE0" w:rsidRDefault="00000000">
      <w:pPr>
        <w:numPr>
          <w:ilvl w:val="1"/>
          <w:numId w:val="43"/>
        </w:numPr>
      </w:pPr>
      <w:r>
        <w:rPr>
          <w:b/>
          <w:bCs/>
        </w:rPr>
        <w:t>Output (Revenue):</w:t>
      </w:r>
      <w:r>
        <w:t xml:space="preserve"> Algorithm:</w:t>
      </w:r>
      <w:r>
        <w:br/>
      </w:r>
      <w:r>
        <w:rPr>
          <w:i/>
          <w:iCs/>
        </w:rPr>
        <w:t>License = 0.25  x  (Legacy HVAC Cost - AIVU Rightsized Cost)</w:t>
      </w:r>
    </w:p>
    <w:p w14:paraId="215137F9" w14:textId="77777777" w:rsidR="00E44DE0" w:rsidRDefault="00000000">
      <w:pPr>
        <w:pStyle w:val="Heading3"/>
      </w:pPr>
      <w:bookmarkStart w:id="72" w:name="_Toc229320746"/>
      <w:r>
        <w:rPr>
          <w:b/>
          <w:bCs/>
        </w:rPr>
        <w:t>4.2 Lifecycle Phases 3 &amp; 4: Construction, Supply Chains &amp; Commissioning</w:t>
      </w:r>
      <w:bookmarkEnd w:id="72"/>
    </w:p>
    <w:p w14:paraId="43DD14E3" w14:textId="77777777" w:rsidR="00E44DE0" w:rsidRDefault="00000000">
      <w:pPr>
        <w:pStyle w:val="Heading4"/>
        <w:numPr>
          <w:ilvl w:val="0"/>
          <w:numId w:val="44"/>
        </w:numPr>
      </w:pPr>
      <w:r>
        <w:rPr>
          <w:b/>
          <w:bCs/>
        </w:rPr>
        <w:t>4.2.1 Disintermediation Success Fee (The Wholesale Siphon)</w:t>
      </w:r>
    </w:p>
    <w:p w14:paraId="1377229B" w14:textId="77777777" w:rsidR="00E44DE0" w:rsidRDefault="00000000">
      <w:pPr>
        <w:numPr>
          <w:ilvl w:val="1"/>
          <w:numId w:val="44"/>
        </w:numPr>
      </w:pPr>
      <w:r>
        <w:rPr>
          <w:b/>
          <w:bCs/>
        </w:rPr>
        <w:t>Input:</w:t>
      </w:r>
      <w:r>
        <w:t xml:space="preserve"> Total wholesale markup saved (typically 25–45%) by routing orders directly from factory to job site.</w:t>
      </w:r>
    </w:p>
    <w:p w14:paraId="5C775B7D" w14:textId="77777777" w:rsidR="00E44DE0" w:rsidRDefault="00000000">
      <w:pPr>
        <w:numPr>
          <w:ilvl w:val="1"/>
          <w:numId w:val="44"/>
        </w:numPr>
      </w:pPr>
      <w:r>
        <w:rPr>
          <w:b/>
          <w:bCs/>
        </w:rPr>
        <w:t>Process:</w:t>
      </w:r>
      <w:r>
        <w:t xml:space="preserve"> Capturing a 10% share of the capital reclaimed by bypassing legacy distribution layers for Market Segments 3 and 4.</w:t>
      </w:r>
    </w:p>
    <w:p w14:paraId="69FDB9AD" w14:textId="77777777" w:rsidR="00E44DE0" w:rsidRDefault="00000000">
      <w:pPr>
        <w:numPr>
          <w:ilvl w:val="1"/>
          <w:numId w:val="44"/>
        </w:numPr>
      </w:pPr>
      <w:r>
        <w:rPr>
          <w:b/>
          <w:bCs/>
        </w:rPr>
        <w:t>Output (Revenue):</w:t>
      </w:r>
      <w:r>
        <w:t xml:space="preserve"> Algorithm: </w:t>
      </w:r>
      <w:r>
        <w:br/>
      </w:r>
      <w:r>
        <w:rPr>
          <w:i/>
          <w:iCs/>
        </w:rPr>
        <w:t>Success Fee = 0.10 x (Wholesale Markup Saved)</w:t>
      </w:r>
    </w:p>
    <w:p w14:paraId="45C917EF" w14:textId="77777777" w:rsidR="00E44DE0" w:rsidRDefault="00000000">
      <w:pPr>
        <w:pStyle w:val="Heading4"/>
        <w:numPr>
          <w:ilvl w:val="0"/>
          <w:numId w:val="44"/>
        </w:numPr>
      </w:pPr>
      <w:r>
        <w:rPr>
          <w:b/>
          <w:bCs/>
        </w:rPr>
        <w:t>4.2.2 Certification &amp; Release Fee (The Birth Certificate)</w:t>
      </w:r>
    </w:p>
    <w:p w14:paraId="4EA80FDA" w14:textId="77777777" w:rsidR="00E44DE0" w:rsidRDefault="00000000">
      <w:pPr>
        <w:numPr>
          <w:ilvl w:val="1"/>
          <w:numId w:val="44"/>
        </w:numPr>
      </w:pPr>
      <w:r>
        <w:rPr>
          <w:b/>
          <w:bCs/>
        </w:rPr>
        <w:t>Input:</w:t>
      </w:r>
      <w:r>
        <w:t xml:space="preserve"> Completion of the 5-day Power-On Self-Test (</w:t>
      </w:r>
      <w:proofErr w:type="spellStart"/>
      <w:r>
        <w:t>Cx</w:t>
      </w:r>
      <w:proofErr w:type="spellEnd"/>
      <w:r>
        <w:t>) and issuance of the Certificate of Occupancy (CO).</w:t>
      </w:r>
    </w:p>
    <w:p w14:paraId="20750AD8" w14:textId="77777777" w:rsidR="00E44DE0" w:rsidRDefault="00000000">
      <w:pPr>
        <w:numPr>
          <w:ilvl w:val="1"/>
          <w:numId w:val="44"/>
        </w:numPr>
      </w:pPr>
      <w:r>
        <w:rPr>
          <w:b/>
          <w:bCs/>
        </w:rPr>
        <w:t>Process:</w:t>
      </w:r>
      <w:r>
        <w:t xml:space="preserve"> Monetizing the digital record that replaces manual HERS tests and triggers the warranty reserve release.</w:t>
      </w:r>
    </w:p>
    <w:p w14:paraId="452DC27B" w14:textId="77777777" w:rsidR="00E44DE0" w:rsidRDefault="00000000">
      <w:pPr>
        <w:numPr>
          <w:ilvl w:val="1"/>
          <w:numId w:val="44"/>
        </w:numPr>
      </w:pPr>
      <w:r>
        <w:rPr>
          <w:b/>
          <w:bCs/>
        </w:rPr>
        <w:t>Output (Revenue):</w:t>
      </w:r>
      <w:r>
        <w:t xml:space="preserve"> Algorithm: </w:t>
      </w:r>
      <w:r>
        <w:rPr>
          <w:i/>
          <w:iCs/>
        </w:rPr>
        <w:t>Flat Fee = $250 per asset at CO</w:t>
      </w:r>
    </w:p>
    <w:p w14:paraId="078AC380" w14:textId="77777777" w:rsidR="00E44DE0" w:rsidRDefault="00000000">
      <w:pPr>
        <w:pStyle w:val="Heading3"/>
      </w:pPr>
      <w:bookmarkStart w:id="73" w:name="_Toc229320747"/>
      <w:r>
        <w:rPr>
          <w:b/>
          <w:bCs/>
        </w:rPr>
        <w:t>4.3 Lifecycle Phases 5, 6 &amp; 7: Sales, Financing &amp; Insurance</w:t>
      </w:r>
      <w:bookmarkEnd w:id="73"/>
    </w:p>
    <w:p w14:paraId="717ABEAB" w14:textId="77777777" w:rsidR="00E44DE0" w:rsidRDefault="00000000">
      <w:pPr>
        <w:pStyle w:val="Heading4"/>
        <w:numPr>
          <w:ilvl w:val="0"/>
          <w:numId w:val="45"/>
        </w:numPr>
      </w:pPr>
      <w:r>
        <w:rPr>
          <w:b/>
          <w:bCs/>
        </w:rPr>
        <w:t>4.3.1 Incentive Recovery Commission (The Rifle-Shot Premium)</w:t>
      </w:r>
    </w:p>
    <w:p w14:paraId="0CF196AB" w14:textId="77777777" w:rsidR="00E44DE0" w:rsidRDefault="00000000">
      <w:pPr>
        <w:numPr>
          <w:ilvl w:val="1"/>
          <w:numId w:val="45"/>
        </w:numPr>
      </w:pPr>
      <w:r>
        <w:rPr>
          <w:b/>
          <w:bCs/>
        </w:rPr>
        <w:t>Input:</w:t>
      </w:r>
      <w:r>
        <w:t xml:space="preserve"> Delta between a standard "shotgun" interest rate buydown ($15k–$20k) and a targeted AIVU "rifle-shot" performance perk ($2k).</w:t>
      </w:r>
    </w:p>
    <w:p w14:paraId="2B2DCADB" w14:textId="77777777" w:rsidR="00E44DE0" w:rsidRDefault="00000000">
      <w:pPr>
        <w:numPr>
          <w:ilvl w:val="1"/>
          <w:numId w:val="45"/>
        </w:numPr>
      </w:pPr>
      <w:r>
        <w:rPr>
          <w:b/>
          <w:bCs/>
        </w:rPr>
        <w:t>Process:</w:t>
      </w:r>
      <w:r>
        <w:t xml:space="preserve"> Capturing 15% of the recovered marketing/sales incentive spend for Market Segment 3.</w:t>
      </w:r>
    </w:p>
    <w:p w14:paraId="16CBF7E5" w14:textId="77777777" w:rsidR="00E44DE0" w:rsidRDefault="00000000">
      <w:pPr>
        <w:numPr>
          <w:ilvl w:val="1"/>
          <w:numId w:val="45"/>
        </w:numPr>
      </w:pPr>
      <w:r>
        <w:rPr>
          <w:b/>
          <w:bCs/>
        </w:rPr>
        <w:t>Output (Revenue):</w:t>
      </w:r>
      <w:r>
        <w:t xml:space="preserve"> Algorithm: </w:t>
      </w:r>
      <w:r>
        <w:br/>
      </w:r>
      <w:r>
        <w:rPr>
          <w:i/>
          <w:iCs/>
        </w:rPr>
        <w:t>Recovery = 0.15 x (Shotgun Incentive Cost - Rifle Shot Cost)</w:t>
      </w:r>
    </w:p>
    <w:p w14:paraId="29F1D8D8" w14:textId="77777777" w:rsidR="00E44DE0" w:rsidRDefault="00000000">
      <w:pPr>
        <w:pStyle w:val="Heading4"/>
        <w:numPr>
          <w:ilvl w:val="0"/>
          <w:numId w:val="45"/>
        </w:numPr>
      </w:pPr>
      <w:r>
        <w:rPr>
          <w:b/>
          <w:bCs/>
        </w:rPr>
        <w:t>4.3.2 Verification &amp; Basic Points Fee (The Reliability Premium)</w:t>
      </w:r>
    </w:p>
    <w:p w14:paraId="3E18A957" w14:textId="77777777" w:rsidR="00E44DE0" w:rsidRDefault="00000000">
      <w:pPr>
        <w:numPr>
          <w:ilvl w:val="1"/>
          <w:numId w:val="45"/>
        </w:numPr>
      </w:pPr>
      <w:r>
        <w:rPr>
          <w:b/>
          <w:bCs/>
        </w:rPr>
        <w:t>Input:</w:t>
      </w:r>
      <w:r>
        <w:t xml:space="preserve"> Mortgage note tagging in secondary markets and per-loan processing volume.</w:t>
      </w:r>
    </w:p>
    <w:p w14:paraId="53254466" w14:textId="77777777" w:rsidR="00E44DE0" w:rsidRDefault="00000000">
      <w:pPr>
        <w:numPr>
          <w:ilvl w:val="1"/>
          <w:numId w:val="45"/>
        </w:numPr>
      </w:pPr>
      <w:r>
        <w:rPr>
          <w:b/>
          <w:bCs/>
        </w:rPr>
        <w:lastRenderedPageBreak/>
        <w:t>Process:</w:t>
      </w:r>
      <w:r>
        <w:t xml:space="preserve"> Capturing a </w:t>
      </w:r>
      <w:proofErr w:type="gramStart"/>
      <w:r>
        <w:t>5 basis</w:t>
      </w:r>
      <w:proofErr w:type="gramEnd"/>
      <w:r>
        <w:t xml:space="preserve"> point (bps) premium secured by tagging loans as </w:t>
      </w:r>
      <w:r>
        <w:rPr>
          <w:i/>
          <w:iCs/>
        </w:rPr>
        <w:t>verified high-performance assets</w:t>
      </w:r>
      <w:r>
        <w:t xml:space="preserve"> for Market Segment 1 (Lenders).</w:t>
      </w:r>
    </w:p>
    <w:p w14:paraId="57BDD612" w14:textId="77777777" w:rsidR="00E44DE0" w:rsidRDefault="00000000">
      <w:pPr>
        <w:numPr>
          <w:ilvl w:val="1"/>
          <w:numId w:val="45"/>
        </w:numPr>
      </w:pPr>
      <w:r>
        <w:rPr>
          <w:b/>
          <w:bCs/>
        </w:rPr>
        <w:t>Output (Revenue):</w:t>
      </w:r>
      <w:r>
        <w:t xml:space="preserve"> Algorithm: </w:t>
      </w:r>
      <w:r>
        <w:br/>
      </w:r>
      <w:r>
        <w:rPr>
          <w:i/>
          <w:iCs/>
        </w:rPr>
        <w:t>Fee = Per Loan Processing Fee + 5 bps of Secondary Market Premium</w:t>
      </w:r>
    </w:p>
    <w:p w14:paraId="28CA424A" w14:textId="77777777" w:rsidR="00E44DE0" w:rsidRDefault="00000000">
      <w:pPr>
        <w:pStyle w:val="Heading3"/>
      </w:pPr>
      <w:bookmarkStart w:id="74" w:name="_Toc229320748"/>
      <w:r>
        <w:rPr>
          <w:b/>
          <w:bCs/>
        </w:rPr>
        <w:t>4.4 Lifecycle Phases 8, 9 &amp; 10: Home Operations, Maintenance &amp; Resale</w:t>
      </w:r>
      <w:bookmarkEnd w:id="74"/>
    </w:p>
    <w:p w14:paraId="725DCAE0" w14:textId="77777777" w:rsidR="00E44DE0" w:rsidRDefault="00000000">
      <w:pPr>
        <w:pStyle w:val="Heading4"/>
        <w:numPr>
          <w:ilvl w:val="0"/>
          <w:numId w:val="46"/>
        </w:numPr>
      </w:pPr>
      <w:r>
        <w:rPr>
          <w:b/>
          <w:bCs/>
        </w:rPr>
        <w:t xml:space="preserve">4.4.1 </w:t>
      </w:r>
      <w:proofErr w:type="spellStart"/>
      <w:r>
        <w:rPr>
          <w:b/>
          <w:bCs/>
        </w:rPr>
        <w:t>Negawatt</w:t>
      </w:r>
      <w:proofErr w:type="spellEnd"/>
      <w:r>
        <w:rPr>
          <w:b/>
          <w:bCs/>
        </w:rPr>
        <w:t xml:space="preserve"> Bidding Revenue Share (The Flexibility Tax)</w:t>
      </w:r>
    </w:p>
    <w:p w14:paraId="133CE3D8" w14:textId="77777777" w:rsidR="00E44DE0" w:rsidRDefault="00000000">
      <w:pPr>
        <w:numPr>
          <w:ilvl w:val="1"/>
          <w:numId w:val="46"/>
        </w:numPr>
      </w:pPr>
      <w:r>
        <w:rPr>
          <w:b/>
          <w:bCs/>
        </w:rPr>
        <w:t>Input:</w:t>
      </w:r>
      <w:r>
        <w:t xml:space="preserve"> Utility incentive payments for load-shedding or thermal mass arbitrage.</w:t>
      </w:r>
    </w:p>
    <w:p w14:paraId="21FDA1AC" w14:textId="77777777" w:rsidR="00E44DE0" w:rsidRDefault="00000000">
      <w:pPr>
        <w:numPr>
          <w:ilvl w:val="1"/>
          <w:numId w:val="46"/>
        </w:numPr>
      </w:pPr>
      <w:r>
        <w:rPr>
          <w:b/>
          <w:bCs/>
        </w:rPr>
        <w:t>Process:</w:t>
      </w:r>
      <w:r>
        <w:t xml:space="preserve"> Capturing 20% of the revenue generated by managing the home as a flexible grid asset.</w:t>
      </w:r>
    </w:p>
    <w:p w14:paraId="1A3012E9" w14:textId="77777777" w:rsidR="00E44DE0" w:rsidRDefault="00000000">
      <w:pPr>
        <w:numPr>
          <w:ilvl w:val="1"/>
          <w:numId w:val="46"/>
        </w:numPr>
      </w:pPr>
      <w:r>
        <w:rPr>
          <w:b/>
          <w:bCs/>
        </w:rPr>
        <w:t>Output (Revenue):</w:t>
      </w:r>
      <w:r>
        <w:t xml:space="preserve"> Algorithm:</w:t>
      </w:r>
      <w:r>
        <w:br/>
      </w:r>
      <w:r>
        <w:rPr>
          <w:i/>
          <w:iCs/>
        </w:rPr>
        <w:t>Revenue Share = 0.20 x Utility Incentive Payment</w:t>
      </w:r>
    </w:p>
    <w:p w14:paraId="41523CCD" w14:textId="77777777" w:rsidR="00E44DE0" w:rsidRDefault="00000000">
      <w:pPr>
        <w:pStyle w:val="Heading4"/>
        <w:numPr>
          <w:ilvl w:val="0"/>
          <w:numId w:val="46"/>
        </w:numPr>
      </w:pPr>
      <w:r>
        <w:rPr>
          <w:b/>
          <w:bCs/>
        </w:rPr>
        <w:t>4.4.2 Diagnosed Job Ticket Affiliate Fee (The Lead Gen Siphon)</w:t>
      </w:r>
    </w:p>
    <w:p w14:paraId="0AF35B3E" w14:textId="77777777" w:rsidR="00E44DE0" w:rsidRDefault="00000000">
      <w:pPr>
        <w:numPr>
          <w:ilvl w:val="1"/>
          <w:numId w:val="46"/>
        </w:numPr>
      </w:pPr>
      <w:r>
        <w:rPr>
          <w:b/>
          <w:bCs/>
        </w:rPr>
        <w:t>Input:</w:t>
      </w:r>
      <w:r>
        <w:t xml:space="preserve"> Pre-diagnosed ticket acceptance by Market Segment 5 (Professional Trades).</w:t>
      </w:r>
    </w:p>
    <w:p w14:paraId="35001A0A" w14:textId="77777777" w:rsidR="00E44DE0" w:rsidRDefault="00000000">
      <w:pPr>
        <w:numPr>
          <w:ilvl w:val="1"/>
          <w:numId w:val="46"/>
        </w:numPr>
      </w:pPr>
      <w:r>
        <w:rPr>
          <w:b/>
          <w:bCs/>
        </w:rPr>
        <w:t>Process:</w:t>
      </w:r>
      <w:r>
        <w:t xml:space="preserve"> Charging contractors for high-fidelity leads that eliminate diagnostic "truck-roll" waste.</w:t>
      </w:r>
    </w:p>
    <w:p w14:paraId="5FF3B42B" w14:textId="77777777" w:rsidR="00E44DE0" w:rsidRDefault="00000000">
      <w:pPr>
        <w:numPr>
          <w:ilvl w:val="1"/>
          <w:numId w:val="46"/>
        </w:numPr>
      </w:pPr>
      <w:r>
        <w:rPr>
          <w:b/>
          <w:bCs/>
        </w:rPr>
        <w:t>Output (Revenue):</w:t>
      </w:r>
      <w:r>
        <w:t xml:space="preserve"> Algorithm: </w:t>
      </w:r>
      <w:r>
        <w:rPr>
          <w:i/>
          <w:iCs/>
        </w:rPr>
        <w:t>Lead Fee = $50 per ticket</w:t>
      </w:r>
    </w:p>
    <w:p w14:paraId="2353BADA" w14:textId="77777777" w:rsidR="00E44DE0" w:rsidRDefault="00000000">
      <w:pPr>
        <w:pStyle w:val="Heading4"/>
        <w:numPr>
          <w:ilvl w:val="0"/>
          <w:numId w:val="46"/>
        </w:numPr>
      </w:pPr>
      <w:r>
        <w:rPr>
          <w:b/>
          <w:bCs/>
        </w:rPr>
        <w:t>4.4.3  Active Occupancy Subscription (The B2C Siphon</w:t>
      </w:r>
      <w:r>
        <w:t>)</w:t>
      </w:r>
    </w:p>
    <w:p w14:paraId="5E33FFE1" w14:textId="77777777" w:rsidR="00E44DE0" w:rsidRDefault="00000000">
      <w:pPr>
        <w:numPr>
          <w:ilvl w:val="1"/>
          <w:numId w:val="46"/>
        </w:numPr>
      </w:pPr>
      <w:r>
        <w:rPr>
          <w:b/>
          <w:bCs/>
        </w:rPr>
        <w:t>Input:</w:t>
      </w:r>
      <w:r>
        <w:t xml:space="preserve"> Homeowner utilization of the HPM interface for automated comfort, IAQ management, and predictive maintenance.</w:t>
      </w:r>
    </w:p>
    <w:p w14:paraId="0BEC4DE8" w14:textId="77777777" w:rsidR="00E44DE0" w:rsidRDefault="00000000">
      <w:pPr>
        <w:numPr>
          <w:ilvl w:val="1"/>
          <w:numId w:val="46"/>
        </w:numPr>
      </w:pPr>
      <w:r>
        <w:rPr>
          <w:b/>
          <w:bCs/>
        </w:rPr>
        <w:t>Process:</w:t>
      </w:r>
      <w:r>
        <w:t xml:space="preserve"> The homeowner grants the Exclusive Source Data License in exchange for "Silent Butler" baseline autonomy (Freemium). Premium financial features—such as VIP pre-diagnosed service routing to avoid $200 diagnostic fees and automated </w:t>
      </w:r>
      <w:proofErr w:type="spellStart"/>
      <w:r>
        <w:t>Negawatt</w:t>
      </w:r>
      <w:proofErr w:type="spellEnd"/>
      <w:r>
        <w:t xml:space="preserve"> utility bidding—are gated behind a subscription.</w:t>
      </w:r>
    </w:p>
    <w:p w14:paraId="037577BB" w14:textId="77777777" w:rsidR="00E44DE0" w:rsidRDefault="00000000">
      <w:pPr>
        <w:numPr>
          <w:ilvl w:val="1"/>
          <w:numId w:val="46"/>
        </w:numPr>
      </w:pPr>
      <w:r>
        <w:rPr>
          <w:b/>
          <w:bCs/>
        </w:rPr>
        <w:t>Output (Revenue):</w:t>
      </w:r>
      <w:r>
        <w:t xml:space="preserve"> </w:t>
      </w:r>
      <w:r>
        <w:rPr>
          <w:b/>
          <w:bCs/>
        </w:rPr>
        <w:t>Algorithm:</w:t>
      </w:r>
      <w:r>
        <w:t xml:space="preserve"> Subscription Fee = $9.99 to $19.99 per month. Extracts high-margin B2C Annual Recurring Revenue (ARR) by actively saving the homeowner money on utilities and repairs</w:t>
      </w:r>
    </w:p>
    <w:p w14:paraId="4C7EE81F" w14:textId="77777777" w:rsidR="00E44DE0" w:rsidRDefault="00000000">
      <w:pPr>
        <w:pStyle w:val="Heading4"/>
        <w:numPr>
          <w:ilvl w:val="0"/>
          <w:numId w:val="46"/>
        </w:numPr>
      </w:pPr>
      <w:r>
        <w:rPr>
          <w:b/>
          <w:bCs/>
        </w:rPr>
        <w:t>4.4.4 Equity Preservation Fee (The Resale Siphon)</w:t>
      </w:r>
    </w:p>
    <w:p w14:paraId="3B9BC707" w14:textId="77777777" w:rsidR="00E44DE0" w:rsidRDefault="00000000">
      <w:pPr>
        <w:numPr>
          <w:ilvl w:val="1"/>
          <w:numId w:val="46"/>
        </w:numPr>
      </w:pPr>
      <w:r>
        <w:rPr>
          <w:b/>
          <w:bCs/>
        </w:rPr>
        <w:t>Input:</w:t>
      </w:r>
      <w:r>
        <w:t xml:space="preserve"> Verified resale transactions utilizing the Immutable History Ledger.</w:t>
      </w:r>
    </w:p>
    <w:p w14:paraId="622F223F" w14:textId="77777777" w:rsidR="00E44DE0" w:rsidRDefault="00000000">
      <w:pPr>
        <w:numPr>
          <w:ilvl w:val="1"/>
          <w:numId w:val="46"/>
        </w:numPr>
      </w:pPr>
      <w:r>
        <w:rPr>
          <w:b/>
          <w:bCs/>
        </w:rPr>
        <w:t>Process:</w:t>
      </w:r>
      <w:r>
        <w:t xml:space="preserve"> Capturing value for providing the data that justifies a 3–5% valuation premium at the point of resale.</w:t>
      </w:r>
    </w:p>
    <w:p w14:paraId="4541A866" w14:textId="77777777" w:rsidR="00E44DE0" w:rsidRDefault="00000000">
      <w:pPr>
        <w:numPr>
          <w:ilvl w:val="1"/>
          <w:numId w:val="46"/>
        </w:numPr>
      </w:pPr>
      <w:r>
        <w:rPr>
          <w:b/>
          <w:bCs/>
        </w:rPr>
        <w:t>Output (Revenue):</w:t>
      </w:r>
      <w:r>
        <w:t xml:space="preserve"> Algorithm: </w:t>
      </w:r>
      <w:r>
        <w:rPr>
          <w:i/>
          <w:iCs/>
        </w:rPr>
        <w:t>Exit Fee = $750 per transaction</w:t>
      </w:r>
    </w:p>
    <w:p w14:paraId="02E61EE9" w14:textId="77777777" w:rsidR="00E44DE0" w:rsidRDefault="00E44DE0"/>
    <w:p w14:paraId="513C798E" w14:textId="77777777" w:rsidR="00E44DE0" w:rsidRDefault="00000000">
      <w:pPr>
        <w:pStyle w:val="Heading2"/>
        <w:rPr>
          <w:b/>
          <w:bCs/>
          <w:sz w:val="28"/>
          <w:szCs w:val="28"/>
        </w:rPr>
      </w:pPr>
      <w:bookmarkStart w:id="75" w:name="_Toc229320749"/>
      <w:r>
        <w:rPr>
          <w:b/>
          <w:bCs/>
          <w:sz w:val="28"/>
          <w:szCs w:val="28"/>
        </w:rPr>
        <w:t>5. The Retail &amp; Distribution Engine</w:t>
      </w:r>
      <w:bookmarkEnd w:id="75"/>
    </w:p>
    <w:p w14:paraId="18101D2C" w14:textId="77777777" w:rsidR="00E44DE0" w:rsidRDefault="00000000">
      <w:r>
        <w:rPr>
          <w:b/>
          <w:bCs/>
        </w:rPr>
        <w:t>Objective:</w:t>
      </w:r>
      <w:r>
        <w:t xml:space="preserve"> To codify the digital productization and delivery mechanisms that ensure AIVU’s analysis is integrated into institutional workflows with zero friction.</w:t>
      </w:r>
    </w:p>
    <w:p w14:paraId="3D3BF0A2" w14:textId="77777777" w:rsidR="00E44DE0" w:rsidRDefault="00000000">
      <w:pPr>
        <w:pStyle w:val="Heading3"/>
        <w:numPr>
          <w:ilvl w:val="0"/>
          <w:numId w:val="47"/>
        </w:numPr>
      </w:pPr>
      <w:bookmarkStart w:id="76" w:name="_Toc229320750"/>
      <w:r>
        <w:rPr>
          <w:b/>
          <w:bCs/>
        </w:rPr>
        <w:t>5.1 The "Truth Portal" (Institutional SaaS Interface)</w:t>
      </w:r>
      <w:bookmarkEnd w:id="76"/>
    </w:p>
    <w:p w14:paraId="3F8B53EA" w14:textId="77777777" w:rsidR="00E44DE0" w:rsidRDefault="00000000">
      <w:pPr>
        <w:numPr>
          <w:ilvl w:val="1"/>
          <w:numId w:val="47"/>
        </w:numPr>
      </w:pPr>
      <w:r>
        <w:rPr>
          <w:b/>
          <w:bCs/>
        </w:rPr>
        <w:t>Input:</w:t>
      </w:r>
      <w:r>
        <w:t xml:space="preserve"> Purified data streams from the Normalized Physics Feed; Market Segment-specific credentials; Aggregate cohort data from the Big Digital Twin .</w:t>
      </w:r>
    </w:p>
    <w:p w14:paraId="5F1F0269" w14:textId="77777777" w:rsidR="00E44DE0" w:rsidRDefault="00000000">
      <w:pPr>
        <w:numPr>
          <w:ilvl w:val="1"/>
          <w:numId w:val="47"/>
        </w:numPr>
      </w:pPr>
      <w:r>
        <w:rPr>
          <w:b/>
          <w:bCs/>
        </w:rPr>
        <w:t>Process:</w:t>
      </w:r>
      <w:r>
        <w:t xml:space="preserve"> Contextual Slicing applies a segment-specific "Lens" to the unified data refinery. For Market Segment 2 (Insurers), the engine translates physics into moisture risk heat maps and fire-hazard alerts; for Market Segment 4 (OEMs), it translates the same data into 1Hz performance curves and 5-Sigma comparisons .</w:t>
      </w:r>
    </w:p>
    <w:p w14:paraId="43AC5E25" w14:textId="77777777" w:rsidR="00E44DE0" w:rsidRDefault="00000000">
      <w:pPr>
        <w:numPr>
          <w:ilvl w:val="1"/>
          <w:numId w:val="47"/>
        </w:numPr>
      </w:pPr>
      <w:r>
        <w:rPr>
          <w:b/>
          <w:bCs/>
        </w:rPr>
        <w:t>Output:</w:t>
      </w:r>
      <w:r>
        <w:t xml:space="preserve"> The "Digital DNA" API (a high-velocity RESTful pipe for automated underwriting); Multi-Tenant Dashboards customized for each segment.</w:t>
      </w:r>
    </w:p>
    <w:p w14:paraId="46A48FC7" w14:textId="77777777" w:rsidR="00E44DE0" w:rsidRDefault="00000000">
      <w:pPr>
        <w:pStyle w:val="Heading3"/>
        <w:numPr>
          <w:ilvl w:val="0"/>
          <w:numId w:val="47"/>
        </w:numPr>
      </w:pPr>
      <w:bookmarkStart w:id="77" w:name="_Toc229320751"/>
      <w:r>
        <w:rPr>
          <w:b/>
          <w:bCs/>
        </w:rPr>
        <w:t>5.2 Product Packaging (The "Retailing" Formats)</w:t>
      </w:r>
      <w:bookmarkEnd w:id="77"/>
    </w:p>
    <w:p w14:paraId="322C9312" w14:textId="77777777" w:rsidR="00E44DE0" w:rsidRDefault="00000000">
      <w:pPr>
        <w:numPr>
          <w:ilvl w:val="1"/>
          <w:numId w:val="47"/>
        </w:numPr>
      </w:pPr>
      <w:r>
        <w:rPr>
          <w:b/>
          <w:bCs/>
        </w:rPr>
        <w:t>Input:</w:t>
      </w:r>
      <w:r>
        <w:t xml:space="preserve"> Adjudicated physical records; Cryptographic keys from the Clearinghouse Ledger.</w:t>
      </w:r>
    </w:p>
    <w:p w14:paraId="7312E1D8" w14:textId="77777777" w:rsidR="00E44DE0" w:rsidRDefault="00000000">
      <w:pPr>
        <w:numPr>
          <w:ilvl w:val="1"/>
          <w:numId w:val="47"/>
        </w:numPr>
      </w:pPr>
      <w:r>
        <w:rPr>
          <w:b/>
          <w:bCs/>
        </w:rPr>
        <w:t>Process:</w:t>
      </w:r>
      <w:r>
        <w:t xml:space="preserve"> Format Encapsulation productizes analysis into Snapshots, Movies, and Pay-Per-Result leads; Blockchain Anchoring timestamps and signs each document for legal admissibility.</w:t>
      </w:r>
    </w:p>
    <w:p w14:paraId="366F002C" w14:textId="77777777" w:rsidR="00E44DE0" w:rsidRDefault="00000000">
      <w:pPr>
        <w:numPr>
          <w:ilvl w:val="1"/>
          <w:numId w:val="47"/>
        </w:numPr>
      </w:pPr>
      <w:r>
        <w:rPr>
          <w:b/>
          <w:bCs/>
        </w:rPr>
        <w:t>Output:</w:t>
      </w:r>
      <w:r>
        <w:t xml:space="preserve"> The Immutable History Ledger; Horizontal Reliability Reports serving live feeds for Market Segment 4.</w:t>
      </w:r>
    </w:p>
    <w:p w14:paraId="5B66769E" w14:textId="77777777" w:rsidR="00E44DE0" w:rsidRDefault="00000000">
      <w:pPr>
        <w:pStyle w:val="Heading3"/>
        <w:numPr>
          <w:ilvl w:val="0"/>
          <w:numId w:val="47"/>
        </w:numPr>
      </w:pPr>
      <w:bookmarkStart w:id="78" w:name="_Toc229320752"/>
      <w:r>
        <w:rPr>
          <w:b/>
          <w:bCs/>
        </w:rPr>
        <w:t>5.3 Distribution Strategy (The "Velocity Fix")</w:t>
      </w:r>
      <w:bookmarkEnd w:id="78"/>
    </w:p>
    <w:p w14:paraId="04E1750D" w14:textId="77777777" w:rsidR="00E44DE0" w:rsidRDefault="00000000">
      <w:pPr>
        <w:numPr>
          <w:ilvl w:val="1"/>
          <w:numId w:val="47"/>
        </w:numPr>
      </w:pPr>
      <w:r>
        <w:rPr>
          <w:b/>
          <w:bCs/>
        </w:rPr>
        <w:t>Input:</w:t>
      </w:r>
      <w:r>
        <w:t xml:space="preserve"> Pre-verified diagnostic codes from the HPM; Construction progress data from Market Segment 3 (Builders).</w:t>
      </w:r>
    </w:p>
    <w:p w14:paraId="58542B8B" w14:textId="77777777" w:rsidR="00E44DE0" w:rsidRDefault="00000000">
      <w:pPr>
        <w:numPr>
          <w:ilvl w:val="1"/>
          <w:numId w:val="47"/>
        </w:numPr>
      </w:pPr>
      <w:r>
        <w:rPr>
          <w:b/>
          <w:bCs/>
        </w:rPr>
        <w:t>Process:</w:t>
      </w:r>
      <w:r>
        <w:t xml:space="preserve"> Automated "Trade Cop" triggers notify builders of defects </w:t>
      </w:r>
      <w:r>
        <w:rPr>
          <w:i/>
          <w:iCs/>
        </w:rPr>
        <w:t>before</w:t>
      </w:r>
      <w:r>
        <w:t xml:space="preserve"> closing; Direct-to-Factory Siphon routes builder demand directly to assembly lines.</w:t>
      </w:r>
    </w:p>
    <w:p w14:paraId="301759B3" w14:textId="77777777" w:rsidR="00E44DE0" w:rsidRDefault="00000000">
      <w:pPr>
        <w:numPr>
          <w:ilvl w:val="1"/>
          <w:numId w:val="47"/>
        </w:numPr>
      </w:pPr>
      <w:r>
        <w:rPr>
          <w:b/>
          <w:bCs/>
        </w:rPr>
        <w:t>Output:</w:t>
      </w:r>
      <w:r>
        <w:t xml:space="preserve"> Diagnosed Job Tickets pushed to Market Segment 5 (Service Trades); Secondary Market Tags automatically applied to mortgage registries.</w:t>
      </w:r>
    </w:p>
    <w:p w14:paraId="0AD8F894" w14:textId="77777777" w:rsidR="00E44DE0" w:rsidRDefault="00E44DE0"/>
    <w:p w14:paraId="40C5035B" w14:textId="77777777" w:rsidR="00E44DE0" w:rsidRDefault="00E44DE0"/>
    <w:p w14:paraId="611E9FBC" w14:textId="77777777" w:rsidR="00E44DE0" w:rsidRDefault="00000000">
      <w:pPr>
        <w:rPr>
          <w:b/>
          <w:bCs/>
          <w:sz w:val="32"/>
          <w:szCs w:val="32"/>
        </w:rPr>
      </w:pPr>
      <w:r>
        <w:br w:type="page"/>
      </w:r>
    </w:p>
    <w:p w14:paraId="6EE2DBCA" w14:textId="77777777" w:rsidR="00E44DE0" w:rsidRDefault="00000000">
      <w:pPr>
        <w:pStyle w:val="Heading1"/>
        <w:spacing w:before="0" w:after="160"/>
        <w:rPr>
          <w:b/>
          <w:bCs/>
          <w:sz w:val="32"/>
          <w:szCs w:val="32"/>
        </w:rPr>
      </w:pPr>
      <w:bookmarkStart w:id="79" w:name="_Toc229320753"/>
      <w:r>
        <w:rPr>
          <w:b/>
          <w:bCs/>
          <w:sz w:val="32"/>
          <w:szCs w:val="32"/>
        </w:rPr>
        <w:lastRenderedPageBreak/>
        <w:t>Addendum:</w:t>
      </w:r>
      <w:bookmarkEnd w:id="79"/>
      <w:r>
        <w:rPr>
          <w:b/>
          <w:bCs/>
          <w:sz w:val="32"/>
          <w:szCs w:val="32"/>
        </w:rPr>
        <w:t xml:space="preserve"> </w:t>
      </w:r>
    </w:p>
    <w:p w14:paraId="1016D530" w14:textId="77777777" w:rsidR="00E44DE0" w:rsidRDefault="00000000">
      <w:r>
        <w:rPr>
          <w:b/>
          <w:bCs/>
          <w:sz w:val="32"/>
          <w:szCs w:val="32"/>
        </w:rPr>
        <w:br/>
        <w:t>Supplemental Protocols, Legal Admissibility &amp; Competitive Positioning</w:t>
      </w:r>
    </w:p>
    <w:p w14:paraId="56FD4F34" w14:textId="77777777" w:rsidR="00E44DE0" w:rsidRDefault="00E44DE0"/>
    <w:p w14:paraId="4ED463A5" w14:textId="77777777" w:rsidR="00E44DE0" w:rsidRDefault="00000000">
      <w:pPr>
        <w:rPr>
          <w:b/>
          <w:bCs/>
          <w:sz w:val="28"/>
          <w:szCs w:val="28"/>
        </w:rPr>
      </w:pPr>
      <w:r>
        <w:rPr>
          <w:b/>
          <w:bCs/>
          <w:sz w:val="28"/>
          <w:szCs w:val="28"/>
        </w:rPr>
        <w:t>Endnote</w:t>
      </w:r>
      <w:r>
        <w:rPr>
          <w:b/>
          <w:bCs/>
          <w:i/>
          <w:iCs/>
          <w:sz w:val="28"/>
          <w:szCs w:val="28"/>
        </w:rPr>
        <w:t xml:space="preserve"> </w:t>
      </w:r>
      <w:r>
        <w:rPr>
          <w:b/>
          <w:bCs/>
          <w:sz w:val="28"/>
          <w:szCs w:val="28"/>
        </w:rPr>
        <w:t>(for Section 4.1.1)</w:t>
      </w:r>
    </w:p>
    <w:p w14:paraId="44FF7E0B" w14:textId="77777777" w:rsidR="00E44DE0" w:rsidRDefault="00000000">
      <w:pPr>
        <w:rPr>
          <w:i/>
          <w:iCs/>
          <w:sz w:val="22"/>
          <w:szCs w:val="22"/>
        </w:rPr>
      </w:pPr>
      <w:r>
        <w:rPr>
          <w:i/>
          <w:iCs/>
          <w:sz w:val="22"/>
          <w:szCs w:val="22"/>
        </w:rPr>
        <w:t>This specific algorithm represents AIVU’s very first opportunity to monetize its data in the lifespan of a home—before a shovel even hits the dirt.</w:t>
      </w:r>
    </w:p>
    <w:p w14:paraId="18934251" w14:textId="77777777" w:rsidR="00E44DE0" w:rsidRDefault="00000000">
      <w:pPr>
        <w:rPr>
          <w:i/>
          <w:iCs/>
          <w:sz w:val="22"/>
          <w:szCs w:val="22"/>
        </w:rPr>
      </w:pPr>
      <w:r>
        <w:rPr>
          <w:i/>
          <w:iCs/>
          <w:sz w:val="22"/>
          <w:szCs w:val="22"/>
        </w:rPr>
        <w:t xml:space="preserve">To understand the formula, you </w:t>
      </w:r>
      <w:proofErr w:type="gramStart"/>
      <w:r>
        <w:rPr>
          <w:i/>
          <w:iCs/>
          <w:sz w:val="22"/>
          <w:szCs w:val="22"/>
        </w:rPr>
        <w:t>have to</w:t>
      </w:r>
      <w:proofErr w:type="gramEnd"/>
      <w:r>
        <w:rPr>
          <w:i/>
          <w:iCs/>
          <w:sz w:val="22"/>
          <w:szCs w:val="22"/>
        </w:rPr>
        <w:t xml:space="preserve"> look at the exact financial pain a builder (Market Segment 3) faces during Phase 1 (Planning &amp; Pre-Construction). When a developer buys a tract of land to build 50 homes, they are making a multi-million-dollar gamble based on lagging, historical real estate data. They are speculating that if they build a certain type of home, the local market will "absorb" (buy) those homes quickly enough to pay off their high-interest construction loans.</w:t>
      </w:r>
    </w:p>
    <w:p w14:paraId="6463DA7E" w14:textId="77777777" w:rsidR="00E44DE0" w:rsidRDefault="00000000">
      <w:pPr>
        <w:rPr>
          <w:i/>
          <w:iCs/>
          <w:sz w:val="22"/>
          <w:szCs w:val="22"/>
        </w:rPr>
      </w:pPr>
      <w:r>
        <w:rPr>
          <w:i/>
          <w:iCs/>
          <w:sz w:val="22"/>
          <w:szCs w:val="22"/>
        </w:rPr>
        <w:t xml:space="preserve">AIVU eliminates this speculation by running its multi-dimensional taxonomy (socio-economic data, buyer feature resonance, and market intelligence) to predict exactly what that specific hyper-local market </w:t>
      </w:r>
      <w:proofErr w:type="gramStart"/>
      <w:r>
        <w:rPr>
          <w:i/>
          <w:iCs/>
          <w:sz w:val="22"/>
          <w:szCs w:val="22"/>
        </w:rPr>
        <w:t>actually wants</w:t>
      </w:r>
      <w:proofErr w:type="gramEnd"/>
      <w:r>
        <w:rPr>
          <w:i/>
          <w:iCs/>
          <w:sz w:val="22"/>
          <w:szCs w:val="22"/>
        </w:rPr>
        <w:t xml:space="preserve"> and is willing to pay for.</w:t>
      </w:r>
    </w:p>
    <w:p w14:paraId="65C1EF09" w14:textId="77777777" w:rsidR="00E44DE0" w:rsidRDefault="00000000">
      <w:pPr>
        <w:rPr>
          <w:i/>
          <w:iCs/>
          <w:sz w:val="22"/>
          <w:szCs w:val="22"/>
        </w:rPr>
      </w:pPr>
      <w:r>
        <w:rPr>
          <w:i/>
          <w:iCs/>
          <w:sz w:val="22"/>
          <w:szCs w:val="22"/>
        </w:rPr>
        <w:t>Here is the exact breakdown of the variables in the formula:</w:t>
      </w:r>
      <w:r>
        <w:rPr>
          <w:i/>
          <w:iCs/>
          <w:sz w:val="22"/>
          <w:szCs w:val="22"/>
        </w:rPr>
        <w:br/>
        <w:t>Fee =(</w:t>
      </w:r>
      <w:proofErr w:type="gramStart"/>
      <w:r>
        <w:rPr>
          <w:i/>
          <w:iCs/>
          <w:sz w:val="22"/>
          <w:szCs w:val="22"/>
        </w:rPr>
        <w:t>Lots</w:t>
      </w:r>
      <w:proofErr w:type="gramEnd"/>
      <w:r>
        <w:rPr>
          <w:i/>
          <w:iCs/>
          <w:sz w:val="22"/>
          <w:szCs w:val="22"/>
        </w:rPr>
        <w:t xml:space="preserve"> x $X) + Market Complexity Factor</w:t>
      </w:r>
    </w:p>
    <w:p w14:paraId="5BFC0F40" w14:textId="77777777" w:rsidR="00E44DE0" w:rsidRDefault="00000000">
      <w:pPr>
        <w:numPr>
          <w:ilvl w:val="0"/>
          <w:numId w:val="48"/>
        </w:numPr>
        <w:rPr>
          <w:i/>
          <w:iCs/>
          <w:sz w:val="22"/>
          <w:szCs w:val="22"/>
        </w:rPr>
      </w:pPr>
      <w:r>
        <w:rPr>
          <w:b/>
          <w:bCs/>
          <w:i/>
          <w:iCs/>
          <w:sz w:val="22"/>
          <w:szCs w:val="22"/>
        </w:rPr>
        <w:t>Lots (The Scale of Risk):</w:t>
      </w:r>
      <w:r>
        <w:rPr>
          <w:i/>
          <w:iCs/>
          <w:sz w:val="22"/>
          <w:szCs w:val="22"/>
        </w:rPr>
        <w:t xml:space="preserve"> This is the total number of homes the builder plans to construct in the subdivision. AIVU scales its pricing based on the size of the builder's financial exposure. A 500-home master-planned community requires far more capital and carries far more risk than a 20-home infill project.</w:t>
      </w:r>
    </w:p>
    <w:p w14:paraId="6FE1E210" w14:textId="77777777" w:rsidR="00E44DE0" w:rsidRDefault="00000000">
      <w:pPr>
        <w:numPr>
          <w:ilvl w:val="0"/>
          <w:numId w:val="48"/>
        </w:numPr>
        <w:rPr>
          <w:i/>
          <w:iCs/>
          <w:sz w:val="22"/>
          <w:szCs w:val="22"/>
        </w:rPr>
      </w:pPr>
      <w:r>
        <w:rPr>
          <w:b/>
          <w:bCs/>
          <w:i/>
          <w:iCs/>
          <w:sz w:val="22"/>
          <w:szCs w:val="22"/>
        </w:rPr>
        <w:t>$X (The Base Rate):</w:t>
      </w:r>
      <w:r>
        <w:rPr>
          <w:i/>
          <w:iCs/>
          <w:sz w:val="22"/>
          <w:szCs w:val="22"/>
        </w:rPr>
        <w:t xml:space="preserve"> This is the baseline per-door price for AIVU’s predictive intelligence (e.g., $50 or $100 per lot). If a builder is securing a $15 million land loan, paying a base fee of $2,500</w:t>
      </w:r>
      <w:r>
        <w:rPr>
          <w:i/>
          <w:iCs/>
          <w:sz w:val="22"/>
          <w:szCs w:val="22"/>
        </w:rPr>
        <w:br/>
        <w:t>( i.e., 50 lots x $50) to guarantee they are building the exact right product is a negligible insurance policy.</w:t>
      </w:r>
    </w:p>
    <w:p w14:paraId="47AA7B85" w14:textId="77777777" w:rsidR="00E44DE0" w:rsidRDefault="00000000">
      <w:pPr>
        <w:numPr>
          <w:ilvl w:val="0"/>
          <w:numId w:val="48"/>
        </w:numPr>
        <w:rPr>
          <w:i/>
          <w:iCs/>
          <w:sz w:val="22"/>
          <w:szCs w:val="22"/>
        </w:rPr>
      </w:pPr>
      <w:proofErr w:type="spellStart"/>
      <w:r>
        <w:rPr>
          <w:b/>
          <w:bCs/>
          <w:i/>
          <w:iCs/>
          <w:sz w:val="22"/>
          <w:szCs w:val="22"/>
        </w:rPr>
        <w:t>Market_Complexity_Factor</w:t>
      </w:r>
      <w:proofErr w:type="spellEnd"/>
      <w:r>
        <w:rPr>
          <w:b/>
          <w:bCs/>
          <w:i/>
          <w:iCs/>
          <w:sz w:val="22"/>
          <w:szCs w:val="22"/>
        </w:rPr>
        <w:t xml:space="preserve"> (The Deep Data Premium):</w:t>
      </w:r>
      <w:r>
        <w:rPr>
          <w:i/>
          <w:iCs/>
          <w:sz w:val="22"/>
          <w:szCs w:val="22"/>
        </w:rPr>
        <w:t xml:space="preserve"> Not all dirt is created equal. This variable is an added premium based on the computational density required to analyze that specific geography.</w:t>
      </w:r>
    </w:p>
    <w:p w14:paraId="725172F5" w14:textId="77777777" w:rsidR="00E44DE0" w:rsidRDefault="00000000">
      <w:pPr>
        <w:numPr>
          <w:ilvl w:val="1"/>
          <w:numId w:val="48"/>
        </w:numPr>
        <w:rPr>
          <w:i/>
          <w:iCs/>
          <w:sz w:val="22"/>
          <w:szCs w:val="22"/>
        </w:rPr>
      </w:pPr>
      <w:r>
        <w:rPr>
          <w:i/>
          <w:iCs/>
          <w:sz w:val="22"/>
          <w:szCs w:val="22"/>
        </w:rPr>
        <w:t>If the builder is developing in a highly uniform, predictable market (like a standard suburb in Texas), this factor approaches zero.</w:t>
      </w:r>
    </w:p>
    <w:p w14:paraId="39B41272" w14:textId="77777777" w:rsidR="00E44DE0" w:rsidRDefault="00000000">
      <w:pPr>
        <w:numPr>
          <w:ilvl w:val="1"/>
          <w:numId w:val="48"/>
        </w:numPr>
        <w:rPr>
          <w:i/>
          <w:iCs/>
          <w:sz w:val="22"/>
          <w:szCs w:val="22"/>
        </w:rPr>
      </w:pPr>
      <w:r>
        <w:rPr>
          <w:i/>
          <w:iCs/>
          <w:sz w:val="22"/>
          <w:szCs w:val="22"/>
        </w:rPr>
        <w:t xml:space="preserve">If the builder is developing in a highly competitive, dense, or shifting market (e.g., a new microclimate zone in California, or near a newly announced industrial hub like a Chip Fab where buyer demographics are rapidly changing), AIVU </w:t>
      </w:r>
      <w:proofErr w:type="gramStart"/>
      <w:r>
        <w:rPr>
          <w:i/>
          <w:iCs/>
          <w:sz w:val="22"/>
          <w:szCs w:val="22"/>
        </w:rPr>
        <w:t>has to</w:t>
      </w:r>
      <w:proofErr w:type="gramEnd"/>
      <w:r>
        <w:rPr>
          <w:i/>
          <w:iCs/>
          <w:sz w:val="22"/>
          <w:szCs w:val="22"/>
        </w:rPr>
        <w:t xml:space="preserve"> pull complex data across all </w:t>
      </w:r>
      <w:r>
        <w:rPr>
          <w:i/>
          <w:iCs/>
          <w:sz w:val="22"/>
          <w:szCs w:val="22"/>
        </w:rPr>
        <w:lastRenderedPageBreak/>
        <w:t>7 layers of the Orthogonal Matrix to predict absorption. The builder pays a premium for this high-resolution clarity.</w:t>
      </w:r>
    </w:p>
    <w:p w14:paraId="4C347967" w14:textId="77777777" w:rsidR="00E44DE0" w:rsidRDefault="00000000">
      <w:pPr>
        <w:rPr>
          <w:i/>
          <w:iCs/>
          <w:sz w:val="22"/>
          <w:szCs w:val="22"/>
        </w:rPr>
      </w:pPr>
      <w:r>
        <w:rPr>
          <w:b/>
          <w:bCs/>
          <w:i/>
          <w:iCs/>
          <w:sz w:val="22"/>
          <w:szCs w:val="22"/>
        </w:rPr>
        <w:t>The "Before vs. After" Delta (Why they pay it):</w:t>
      </w:r>
    </w:p>
    <w:p w14:paraId="14224408" w14:textId="77777777" w:rsidR="00E44DE0" w:rsidRDefault="00000000">
      <w:pPr>
        <w:rPr>
          <w:i/>
          <w:iCs/>
          <w:sz w:val="22"/>
          <w:szCs w:val="22"/>
        </w:rPr>
      </w:pPr>
      <w:r>
        <w:rPr>
          <w:i/>
          <w:iCs/>
          <w:sz w:val="22"/>
          <w:szCs w:val="22"/>
        </w:rPr>
        <w:t>Before AIVU, a builder pays a traditional real estate consultant $10,000 for a static "feasibility study" based on 6-month-old MLS data.</w:t>
      </w:r>
    </w:p>
    <w:p w14:paraId="019891B2" w14:textId="77777777" w:rsidR="00E44DE0" w:rsidRDefault="00000000">
      <w:pPr>
        <w:rPr>
          <w:i/>
          <w:iCs/>
          <w:sz w:val="22"/>
          <w:szCs w:val="22"/>
        </w:rPr>
      </w:pPr>
      <w:r>
        <w:rPr>
          <w:i/>
          <w:iCs/>
          <w:sz w:val="22"/>
          <w:szCs w:val="22"/>
        </w:rPr>
        <w:t>After AIVU, the builder pays for a dynamic "Absorption Report" based on real-time Willingness to Pay (WTP) indices. If AIVU’s data tells the builder that adding a specific IAQ (Indoor Air Quality) package will increase absorption speed by 15%, the builder saves hundreds of thousands of dollars in carrying costs on their construction loan.</w:t>
      </w:r>
    </w:p>
    <w:p w14:paraId="551A0246" w14:textId="77777777" w:rsidR="00E44DE0" w:rsidRDefault="00000000">
      <w:pPr>
        <w:rPr>
          <w:i/>
          <w:iCs/>
          <w:sz w:val="22"/>
          <w:szCs w:val="22"/>
        </w:rPr>
      </w:pPr>
      <w:r>
        <w:rPr>
          <w:i/>
          <w:iCs/>
          <w:sz w:val="22"/>
          <w:szCs w:val="22"/>
        </w:rPr>
        <w:t>In summary, we are essentially taxing their peace of mind at the land-acquisition phase.</w:t>
      </w:r>
    </w:p>
    <w:p w14:paraId="61D62280" w14:textId="77777777" w:rsidR="00E44DE0" w:rsidRDefault="00E44DE0"/>
    <w:p w14:paraId="6EF68374" w14:textId="77777777" w:rsidR="00E44DE0" w:rsidRDefault="00E44DE0"/>
    <w:p w14:paraId="021DFC1F" w14:textId="77777777" w:rsidR="00E44DE0" w:rsidRDefault="00000000">
      <w:pPr>
        <w:pStyle w:val="Heading2"/>
        <w:rPr>
          <w:b/>
          <w:bCs/>
          <w:sz w:val="28"/>
          <w:szCs w:val="28"/>
        </w:rPr>
      </w:pPr>
      <w:bookmarkStart w:id="80" w:name="_Toc229320754"/>
      <w:r>
        <w:rPr>
          <w:b/>
          <w:bCs/>
          <w:sz w:val="28"/>
          <w:szCs w:val="28"/>
        </w:rPr>
        <w:t>1. HPM-to-Big-Digital-Twin Synchronization Protocol</w:t>
      </w:r>
      <w:bookmarkEnd w:id="80"/>
    </w:p>
    <w:p w14:paraId="535DD1DB" w14:textId="77777777" w:rsidR="00E44DE0" w:rsidRDefault="00000000">
      <w:r>
        <w:rPr>
          <w:b/>
          <w:bCs/>
        </w:rPr>
        <w:t>Objective:</w:t>
      </w:r>
      <w:r>
        <w:t xml:space="preserve"> To maintain a high-fidelity Digital Twin (PINN) in the cloud (BDT) while ensuring the HPM remains the authoritative real-time controller using certainty-equivalent parameters derived from the PINN and signed by the Clearinghouse.</w:t>
      </w:r>
    </w:p>
    <w:p w14:paraId="514898EC" w14:textId="77777777" w:rsidR="00E44DE0" w:rsidRDefault="00000000">
      <w:pPr>
        <w:pStyle w:val="Heading3"/>
        <w:numPr>
          <w:ilvl w:val="0"/>
          <w:numId w:val="49"/>
        </w:numPr>
      </w:pPr>
      <w:bookmarkStart w:id="81" w:name="_Toc229320755"/>
      <w:r>
        <w:rPr>
          <w:b/>
          <w:bCs/>
        </w:rPr>
        <w:t>1.1 Telemetry Slicing &amp; Batch Transmission</w:t>
      </w:r>
      <w:bookmarkEnd w:id="81"/>
    </w:p>
    <w:p w14:paraId="691F88D2" w14:textId="77777777" w:rsidR="00E44DE0" w:rsidRDefault="00000000">
      <w:pPr>
        <w:numPr>
          <w:ilvl w:val="1"/>
          <w:numId w:val="49"/>
        </w:numPr>
      </w:pPr>
      <w:r>
        <w:rPr>
          <w:b/>
          <w:bCs/>
        </w:rPr>
        <w:t>1Hz Real-Time Buffer:</w:t>
      </w:r>
      <w:r>
        <w:t xml:space="preserve"> The HPM ingests 1Hz telemetry from Eaton Smart Breakers and Venturi sensors locally. This data is used for immediate closed-loop control and Active Liability Protection adjudication.</w:t>
      </w:r>
    </w:p>
    <w:p w14:paraId="79D0E07D" w14:textId="77777777" w:rsidR="00E44DE0" w:rsidRDefault="00000000">
      <w:pPr>
        <w:numPr>
          <w:ilvl w:val="1"/>
          <w:numId w:val="49"/>
        </w:numPr>
      </w:pPr>
      <w:r>
        <w:rPr>
          <w:b/>
          <w:bCs/>
        </w:rPr>
        <w:t>Asynchronous Upload:</w:t>
      </w:r>
      <w:r>
        <w:t xml:space="preserve"> To conserve bandwidth and manage ISP instability, raw 1Hz data is compressed and batched. The HPM attempts a synchronization "heartbeat" at 15-minute intervals. The heartbeat is an operational uplink and health-check cadence; it is decoupled from cryptographic commitment, which is continuous (see §6, Integrity Model).</w:t>
      </w:r>
    </w:p>
    <w:p w14:paraId="5D411372" w14:textId="77777777" w:rsidR="00E44DE0" w:rsidRDefault="00000000">
      <w:pPr>
        <w:numPr>
          <w:ilvl w:val="1"/>
          <w:numId w:val="49"/>
        </w:numPr>
      </w:pPr>
      <w:r>
        <w:rPr>
          <w:b/>
          <w:bCs/>
        </w:rPr>
        <w:t>Priority Metadata:</w:t>
      </w:r>
      <w:r>
        <w:t xml:space="preserve"> Critical events—such as a detected Phase Imbalance, Pipe Burst, or Structural Failure (envelope breach)—trigger an immediate high-priority uplink, bypassing the standard batch window.</w:t>
      </w:r>
    </w:p>
    <w:p w14:paraId="2493D5CE" w14:textId="77777777" w:rsidR="00E44DE0" w:rsidRDefault="00000000">
      <w:pPr>
        <w:pStyle w:val="Heading3"/>
        <w:numPr>
          <w:ilvl w:val="0"/>
          <w:numId w:val="49"/>
        </w:numPr>
      </w:pPr>
      <w:bookmarkStart w:id="82" w:name="_Toc229320756"/>
      <w:r>
        <w:rPr>
          <w:b/>
          <w:bCs/>
        </w:rPr>
        <w:t>1.2 Parameter Propagation &amp; Coefficient Sync</w:t>
      </w:r>
      <w:bookmarkEnd w:id="82"/>
    </w:p>
    <w:p w14:paraId="567E0E0F" w14:textId="77777777" w:rsidR="00E44DE0" w:rsidRDefault="00000000">
      <w:pPr>
        <w:numPr>
          <w:ilvl w:val="1"/>
          <w:numId w:val="49"/>
        </w:numPr>
      </w:pPr>
      <w:r>
        <w:rPr>
          <w:b/>
          <w:bCs/>
        </w:rPr>
        <w:t>Atomic Parameter Ingestion:</w:t>
      </w:r>
      <w:r>
        <w:t xml:space="preserve"> The Big Digital Twin pushes updated physical coefficients (e.g., a revised thermal decay rate for a specific insulation batch) to the HPM.</w:t>
      </w:r>
    </w:p>
    <w:p w14:paraId="3CEE4791" w14:textId="77777777" w:rsidR="00E44DE0" w:rsidRDefault="00000000">
      <w:pPr>
        <w:numPr>
          <w:ilvl w:val="1"/>
          <w:numId w:val="49"/>
        </w:numPr>
      </w:pPr>
      <w:r>
        <w:rPr>
          <w:b/>
          <w:bCs/>
        </w:rPr>
        <w:t>Graph-Based Updates:</w:t>
      </w:r>
      <w:r>
        <w:t xml:space="preserve"> Utilizing the Graph Database, the Big Digital Twin identifies homes within a specific cohort and propagates updated certainty-</w:t>
      </w:r>
      <w:r>
        <w:lastRenderedPageBreak/>
        <w:t>equivalent controller parameters — signed by the Clearinghouse — to the local HPMs without requiring a full file re-simulation.</w:t>
      </w:r>
    </w:p>
    <w:p w14:paraId="1C3C51A8" w14:textId="77777777" w:rsidR="00E44DE0" w:rsidRDefault="00000000">
      <w:pPr>
        <w:numPr>
          <w:ilvl w:val="1"/>
          <w:numId w:val="49"/>
        </w:numPr>
      </w:pPr>
      <w:r>
        <w:rPr>
          <w:b/>
          <w:bCs/>
        </w:rPr>
        <w:t>Weight Adaptation:</w:t>
      </w:r>
      <w:r>
        <w:t xml:space="preserve"> The HPM periodically uploads its fast-loop adaptation state (bounded parameter adjustments reflecting recent occupant habits and microclimate nuances) to the Big Digital Twin, where they inform the next PINN retraining cycle.</w:t>
      </w:r>
    </w:p>
    <w:p w14:paraId="5115548D" w14:textId="77777777" w:rsidR="00E44DE0" w:rsidRDefault="00000000">
      <w:pPr>
        <w:numPr>
          <w:ilvl w:val="1"/>
          <w:numId w:val="49"/>
        </w:numPr>
      </w:pPr>
      <w:r>
        <w:rPr>
          <w:b/>
          <w:bCs/>
        </w:rPr>
        <w:t>Posterior Uplink:</w:t>
      </w:r>
      <w:r>
        <w:t xml:space="preserve"> The HPM-resident </w:t>
      </w:r>
      <w:proofErr w:type="spellStart"/>
      <w:r>
        <w:t>aivu_greybox</w:t>
      </w:r>
      <w:proofErr w:type="spellEnd"/>
      <w:r>
        <w:t xml:space="preserve"> identifier produces envelope posteriors — parameter means, covariances, and identifiability diagnostics over the canonical parameter set (R-actual, C, cfm50, slab F-factor, foam coupling factor) — at heartbeat cadence in Phase 2 and at end-of-Day-2 and end-of-Day-5 in Phase 1 commissioning. Each posterior is signed by the HPM, MMR-committed alongside the telemetry segment from which it was derived (see §6, Integrity Model</w:t>
      </w:r>
      <w:proofErr w:type="gramStart"/>
      <w:r>
        <w:t>), and</w:t>
      </w:r>
      <w:proofErr w:type="gramEnd"/>
      <w:r>
        <w:t xml:space="preserve"> uplinked to the BDT inside an </w:t>
      </w:r>
      <w:proofErr w:type="spellStart"/>
      <w:r>
        <w:t>aivu_hpm</w:t>
      </w:r>
      <w:proofErr w:type="spellEnd"/>
      <w:r>
        <w:t>-authored modification request. Raw 1Hz telemetry does not flow continuously to the BDT; only the derived posteriors do, with telemetry served on demand via MMR inclusion proof when verification is requested. This is conceptually distinct from Weight Adaptation above: the posterior is a structured Bayesian object updated at commissioning milestones and at heartbeat cadence; the fast-loop adaptation state is the bounded MRAC inner-loop’s short-horizon response to local conditions. Both flow upward, serving different purposes in PINN retraining.</w:t>
      </w:r>
    </w:p>
    <w:p w14:paraId="3A5979BE" w14:textId="77777777" w:rsidR="00E44DE0" w:rsidRDefault="00000000">
      <w:pPr>
        <w:pStyle w:val="Heading3"/>
        <w:numPr>
          <w:ilvl w:val="0"/>
          <w:numId w:val="49"/>
        </w:numPr>
      </w:pPr>
      <w:bookmarkStart w:id="83" w:name="_Toc229320757"/>
      <w:r>
        <w:rPr>
          <w:b/>
          <w:bCs/>
        </w:rPr>
        <w:t>1.3 Connectivity Guardrails (The "Standalone" Mandate)</w:t>
      </w:r>
      <w:bookmarkEnd w:id="83"/>
    </w:p>
    <w:p w14:paraId="15A043AB" w14:textId="77777777" w:rsidR="00E44DE0" w:rsidRDefault="00000000">
      <w:pPr>
        <w:numPr>
          <w:ilvl w:val="1"/>
          <w:numId w:val="49"/>
        </w:numPr>
      </w:pPr>
      <w:r>
        <w:rPr>
          <w:b/>
          <w:bCs/>
        </w:rPr>
        <w:t>ISP Independence:</w:t>
      </w:r>
      <w:r>
        <w:t xml:space="preserve"> The HPM is functionally required to operate autonomously. If the homeowner’s </w:t>
      </w:r>
      <w:proofErr w:type="spellStart"/>
      <w:r>
        <w:t>WiFi</w:t>
      </w:r>
      <w:proofErr w:type="spellEnd"/>
      <w:r>
        <w:t xml:space="preserve"> or ISP connection is severed, the HPM continues real-time control using the last-signed certainty-equivalent parameters, with its bounded MRAC inner loop providing local adaptation within safe limits (degraded mode).</w:t>
      </w:r>
    </w:p>
    <w:p w14:paraId="4050C233" w14:textId="77777777" w:rsidR="00E44DE0" w:rsidRDefault="00000000">
      <w:pPr>
        <w:numPr>
          <w:ilvl w:val="1"/>
          <w:numId w:val="49"/>
        </w:numPr>
      </w:pPr>
      <w:proofErr w:type="spellStart"/>
      <w:r>
        <w:rPr>
          <w:b/>
          <w:bCs/>
        </w:rPr>
        <w:t>WiFi</w:t>
      </w:r>
      <w:proofErr w:type="spellEnd"/>
      <w:r>
        <w:rPr>
          <w:b/>
          <w:bCs/>
        </w:rPr>
        <w:t xml:space="preserve"> Continuity:</w:t>
      </w:r>
      <w:r>
        <w:t xml:space="preserve"> Local communication between the HPM, Eaton Hub, and sensors remains active regardless of external internet status, provided local network power is maintained.</w:t>
      </w:r>
    </w:p>
    <w:p w14:paraId="7536F883" w14:textId="77777777" w:rsidR="00E44DE0" w:rsidRDefault="00000000">
      <w:pPr>
        <w:numPr>
          <w:ilvl w:val="1"/>
          <w:numId w:val="49"/>
        </w:numPr>
      </w:pPr>
      <w:r>
        <w:rPr>
          <w:b/>
          <w:bCs/>
        </w:rPr>
        <w:t>Re-Sync Protocol:</w:t>
      </w:r>
      <w:r>
        <w:t xml:space="preserve"> Upon reconnection, the HPM performs a "Catch-Up" sync, uploading the cryptographically signed audit logs generated during the offline period to maintain the Certifiable Audit Trail.</w:t>
      </w:r>
    </w:p>
    <w:p w14:paraId="58E8BF8F" w14:textId="77777777" w:rsidR="00E44DE0" w:rsidRDefault="00000000">
      <w:pPr>
        <w:pStyle w:val="Heading3"/>
        <w:numPr>
          <w:ilvl w:val="0"/>
          <w:numId w:val="49"/>
        </w:numPr>
      </w:pPr>
      <w:bookmarkStart w:id="84" w:name="_Toc229320758"/>
      <w:r>
        <w:rPr>
          <w:b/>
          <w:bCs/>
        </w:rPr>
        <w:t>1.4 Security &amp; Cryptographic Handshake</w:t>
      </w:r>
      <w:bookmarkEnd w:id="84"/>
    </w:p>
    <w:p w14:paraId="7409C875" w14:textId="77777777" w:rsidR="00E44DE0" w:rsidRDefault="00000000">
      <w:pPr>
        <w:numPr>
          <w:ilvl w:val="1"/>
          <w:numId w:val="49"/>
        </w:numPr>
      </w:pPr>
      <w:r>
        <w:rPr>
          <w:b/>
          <w:bCs/>
        </w:rPr>
        <w:t>End-to-End Encryption:</w:t>
      </w:r>
      <w:r>
        <w:t xml:space="preserve"> All data transferred between the HPM and Big Digital Twin is encrypted using site-specific keys established during the "Born Educated" initialization. Key generation is a Distributed Key Generation (DKG) ceremony producing threshold key shares distributed among the HPM, the BDT, and the </w:t>
      </w:r>
      <w:r>
        <w:lastRenderedPageBreak/>
        <w:t>Clearinghouse — not a single-key generation. This enables the 2-of-3 threshold attestation described in §6.</w:t>
      </w:r>
    </w:p>
    <w:p w14:paraId="365C25D8" w14:textId="77777777" w:rsidR="00E44DE0" w:rsidRDefault="00000000">
      <w:pPr>
        <w:numPr>
          <w:ilvl w:val="1"/>
          <w:numId w:val="49"/>
        </w:numPr>
      </w:pPr>
      <w:r>
        <w:rPr>
          <w:b/>
          <w:bCs/>
        </w:rPr>
        <w:t>Validation Handshake:</w:t>
      </w:r>
      <w:r>
        <w:t xml:space="preserve"> Every sync event includes cryptographic signature verification to prevent vendor fraud or external sensor manipulation. Routine operations validate per-packet HPM signatures; commitment boundaries (MMR root snapshots, Birth Certificate signings) require 2-of-3 threshold attestation across HPM, BDT, and Clearinghouse, so that no single-node compromise can produce a forged authoritative record.</w:t>
      </w:r>
    </w:p>
    <w:p w14:paraId="0824942F" w14:textId="77777777" w:rsidR="00E44DE0" w:rsidRDefault="00E44DE0">
      <w:pPr>
        <w:rPr>
          <w:b/>
          <w:bCs/>
          <w:sz w:val="28"/>
          <w:szCs w:val="28"/>
        </w:rPr>
      </w:pPr>
    </w:p>
    <w:p w14:paraId="7E5571D6" w14:textId="77777777" w:rsidR="00E44DE0" w:rsidRDefault="00000000">
      <w:pPr>
        <w:pStyle w:val="Heading2"/>
        <w:rPr>
          <w:b/>
          <w:bCs/>
          <w:sz w:val="28"/>
          <w:szCs w:val="28"/>
        </w:rPr>
      </w:pPr>
      <w:bookmarkStart w:id="85" w:name="_Toc229320759"/>
      <w:r>
        <w:rPr>
          <w:b/>
          <w:bCs/>
          <w:sz w:val="28"/>
          <w:szCs w:val="28"/>
        </w:rPr>
        <w:t>2. Legal Admissibility &amp; Liability Protection</w:t>
      </w:r>
      <w:bookmarkEnd w:id="85"/>
    </w:p>
    <w:p w14:paraId="2EFD29BC" w14:textId="77777777" w:rsidR="00E44DE0" w:rsidRDefault="00000000">
      <w:r>
        <w:t>The residential construction industry currently relies on subjective testimony and one-time inspections to defend against construction defect claims. AIVU replaces this "He-Said/She-Said" uncertainty with a continuous, industrial-grade record of physical reality, acting as a "Silent Witness" on the job site.</w:t>
      </w:r>
    </w:p>
    <w:p w14:paraId="4136E90A" w14:textId="77777777" w:rsidR="00E44DE0" w:rsidRDefault="00000000">
      <w:pPr>
        <w:pStyle w:val="Heading3"/>
        <w:numPr>
          <w:ilvl w:val="0"/>
          <w:numId w:val="50"/>
        </w:numPr>
      </w:pPr>
      <w:bookmarkStart w:id="86" w:name="_Toc229320760"/>
      <w:r>
        <w:rPr>
          <w:b/>
          <w:bCs/>
        </w:rPr>
        <w:t>2.1 The Legal Mechanism: Admissibility as a Business Record</w:t>
      </w:r>
      <w:bookmarkEnd w:id="86"/>
    </w:p>
    <w:p w14:paraId="7296F301" w14:textId="77777777" w:rsidR="00E44DE0" w:rsidRDefault="00000000">
      <w:pPr>
        <w:numPr>
          <w:ilvl w:val="1"/>
          <w:numId w:val="50"/>
        </w:numPr>
      </w:pPr>
      <w:r>
        <w:rPr>
          <w:b/>
          <w:bCs/>
        </w:rPr>
        <w:t>Machine-Generated Evidence:</w:t>
      </w:r>
      <w:r>
        <w:t xml:space="preserve"> Courts generally rule that data generated automatically by sensors (such as thermometers or humidity probes) is not hearsay because it is a direct recording by a machine, not a person capable of bias or opinion.</w:t>
      </w:r>
    </w:p>
    <w:p w14:paraId="23F56D6B" w14:textId="77777777" w:rsidR="00E44DE0" w:rsidRDefault="00000000">
      <w:pPr>
        <w:numPr>
          <w:ilvl w:val="1"/>
          <w:numId w:val="50"/>
        </w:numPr>
      </w:pPr>
      <w:r>
        <w:rPr>
          <w:b/>
          <w:bCs/>
        </w:rPr>
        <w:t>Business Records Exception:</w:t>
      </w:r>
      <w:r>
        <w:t xml:space="preserve"> Under Federal Rule of Evidence 803(6), AIVU’s logs will qualify as "Business Records" because they are collected automatically in the regular course of business operations, establishing them as a standard operational record.</w:t>
      </w:r>
    </w:p>
    <w:p w14:paraId="197365AF" w14:textId="77777777" w:rsidR="00E44DE0" w:rsidRDefault="00000000">
      <w:pPr>
        <w:numPr>
          <w:ilvl w:val="1"/>
          <w:numId w:val="50"/>
        </w:numPr>
      </w:pPr>
      <w:r>
        <w:rPr>
          <w:b/>
          <w:bCs/>
        </w:rPr>
        <w:t>Chain of Custody:</w:t>
      </w:r>
      <w:r>
        <w:t xml:space="preserve"> Unlike consumer "smart home" data, which the homeowner can manipulate or delete, AIVU acts as a neutral third-party custodian. This creates an immutable "Digital Deed" and a verifiable chain of custody that proves the data has not been altered since the moment of recording.</w:t>
      </w:r>
    </w:p>
    <w:p w14:paraId="7B10ACCF" w14:textId="77777777" w:rsidR="00E44DE0" w:rsidRDefault="00000000">
      <w:pPr>
        <w:pStyle w:val="Heading3"/>
        <w:numPr>
          <w:ilvl w:val="0"/>
          <w:numId w:val="50"/>
        </w:numPr>
      </w:pPr>
      <w:bookmarkStart w:id="87" w:name="_Toc229320761"/>
      <w:r>
        <w:rPr>
          <w:b/>
          <w:bCs/>
        </w:rPr>
        <w:t>2.2 Active Protection Against Defect Claims</w:t>
      </w:r>
      <w:bookmarkEnd w:id="87"/>
    </w:p>
    <w:p w14:paraId="49C270EB" w14:textId="77777777" w:rsidR="00E44DE0" w:rsidRDefault="00000000">
      <w:pPr>
        <w:numPr>
          <w:ilvl w:val="1"/>
          <w:numId w:val="50"/>
        </w:numPr>
      </w:pPr>
      <w:r>
        <w:rPr>
          <w:b/>
          <w:bCs/>
        </w:rPr>
        <w:t>Isolating the Failure:</w:t>
      </w:r>
      <w:r>
        <w:t xml:space="preserve"> Because AIVU treats the HVAC system as a calorimeter, we can distinguish between a building envelope failure (bad insulation/sealing) and mechanical equipment failure.</w:t>
      </w:r>
    </w:p>
    <w:p w14:paraId="4372BA9E" w14:textId="77777777" w:rsidR="00E44DE0" w:rsidRDefault="00000000">
      <w:pPr>
        <w:numPr>
          <w:ilvl w:val="1"/>
          <w:numId w:val="50"/>
        </w:numPr>
      </w:pPr>
      <w:r>
        <w:rPr>
          <w:b/>
          <w:bCs/>
        </w:rPr>
        <w:t>Proving User Error:</w:t>
      </w:r>
      <w:r>
        <w:t xml:space="preserve"> If a homeowner files a claim for mold or moisture damage, AIVU’s logs can prove that the issue resulted from the occupant disabling the HVAC system or leaving windows open during high-humidity events, rather than a defect in construction.</w:t>
      </w:r>
    </w:p>
    <w:p w14:paraId="236E11AC" w14:textId="77777777" w:rsidR="00E44DE0" w:rsidRDefault="00E44DE0">
      <w:pPr>
        <w:rPr>
          <w:b/>
          <w:bCs/>
        </w:rPr>
      </w:pPr>
    </w:p>
    <w:p w14:paraId="50A8B7E5" w14:textId="77777777" w:rsidR="00E44DE0" w:rsidRDefault="00000000">
      <w:pPr>
        <w:pStyle w:val="Heading2"/>
        <w:rPr>
          <w:b/>
          <w:bCs/>
          <w:sz w:val="28"/>
          <w:szCs w:val="28"/>
        </w:rPr>
      </w:pPr>
      <w:bookmarkStart w:id="88" w:name="_Toc229320762"/>
      <w:r>
        <w:rPr>
          <w:b/>
          <w:bCs/>
          <w:sz w:val="28"/>
          <w:szCs w:val="28"/>
        </w:rPr>
        <w:t>3. Internal Threat Defense (The "Zero-Trust Data Vault")</w:t>
      </w:r>
      <w:bookmarkEnd w:id="88"/>
    </w:p>
    <w:p w14:paraId="73A39FCF" w14:textId="77777777" w:rsidR="00E44DE0" w:rsidRDefault="00000000">
      <w:r>
        <w:t xml:space="preserve">Because AIVU acts as the "Equifax of the Physical World," retaining the encrypted Master Ledger that maps specific physical addresses to their raw 1Hz telemetry (the "Rosetta Stone" required for legal subpoenas), the internal architecture operates on a strict Zero-Trust framework. No single employee—or coordinated group of employees—has the unilateral ability to access, alter, or export the unredacted linkages between Personally Identifiable </w:t>
      </w:r>
      <w:proofErr w:type="spellStart"/>
      <w:r>
        <w:t>Informtion</w:t>
      </w:r>
      <w:proofErr w:type="spellEnd"/>
      <w:r>
        <w:t xml:space="preserve"> (PII) and the Normalized Physics Feed.</w:t>
      </w:r>
    </w:p>
    <w:p w14:paraId="6736BD4F" w14:textId="77777777" w:rsidR="00E44DE0" w:rsidRDefault="00000000">
      <w:pPr>
        <w:numPr>
          <w:ilvl w:val="0"/>
          <w:numId w:val="52"/>
        </w:numPr>
      </w:pPr>
      <w:r>
        <w:rPr>
          <w:b/>
          <w:bCs/>
        </w:rPr>
        <w:t>3.1 Cryptographic Key Sharding (The Digital "Two-Man Rule"):</w:t>
      </w:r>
      <w:r>
        <w:t xml:space="preserve"> AIVU utilizes multi-party computation protocols (e.g., Shamir’s Secret Sharing) to physically and mathematically shard the master decryption keys. To un-hash data and link an address to its 1Hz telemetry for a legal subpoena or warranty claim, m out of </w:t>
      </w:r>
      <w:proofErr w:type="spellStart"/>
      <w:r>
        <w:t>n</w:t>
      </w:r>
      <w:proofErr w:type="spellEnd"/>
      <w:r>
        <w:t xml:space="preserve"> authorized keyholders (e.g., specific executives and a compliance officer) must simultaneously authenticate the request.</w:t>
      </w:r>
    </w:p>
    <w:p w14:paraId="3A097C4E" w14:textId="77777777" w:rsidR="00E44DE0" w:rsidRDefault="00000000">
      <w:pPr>
        <w:numPr>
          <w:ilvl w:val="0"/>
          <w:numId w:val="52"/>
        </w:numPr>
      </w:pPr>
      <w:r>
        <w:rPr>
          <w:b/>
          <w:bCs/>
        </w:rPr>
        <w:t>3.2 Strict Compartmentalization (The "Blind" Clean Room):</w:t>
      </w:r>
      <w:r>
        <w:t xml:space="preserve"> Data Scientists and Big Digital Twin engineers operate in a computational "clean room." They are fed a continuous diet of stripped, horizontally sliced, and anonymized cohort data required to train the Master Reference Models. They lack the database schema permissions to query the PII ledger. Conversely, operations personnel can view warranty statuses but are mathematically locked out of the core Adjudication Engine's algorithms.</w:t>
      </w:r>
    </w:p>
    <w:p w14:paraId="18F298CD" w14:textId="77777777" w:rsidR="00E44DE0" w:rsidRDefault="00000000">
      <w:pPr>
        <w:numPr>
          <w:ilvl w:val="0"/>
          <w:numId w:val="52"/>
        </w:numPr>
      </w:pPr>
      <w:r>
        <w:rPr>
          <w:b/>
          <w:bCs/>
        </w:rPr>
        <w:t>3.3 Zero Standing Privileges (ZSP) &amp; Ephemeral Access:</w:t>
      </w:r>
      <w:r>
        <w:t xml:space="preserve"> Permanent "Admin" accounts do not exist. If a senior engineer requires access to a restricted database to deploy an update, they must first request "Ephemeral Access." The system grants access for a specific task and a strictly limited time window, after which the credentials automatically self-destruct.</w:t>
      </w:r>
    </w:p>
    <w:p w14:paraId="2DDCA97F" w14:textId="77777777" w:rsidR="00E44DE0" w:rsidRDefault="00000000">
      <w:pPr>
        <w:numPr>
          <w:ilvl w:val="0"/>
          <w:numId w:val="52"/>
        </w:numPr>
      </w:pPr>
      <w:r>
        <w:rPr>
          <w:b/>
          <w:bCs/>
        </w:rPr>
        <w:t>3.4 The Immutable Internal Ledger:</w:t>
      </w:r>
      <w:r>
        <w:t xml:space="preserve"> Every internal query, access request, and code push is logged to an immutable, append-only WORM (Write-Once, Read-Many) drive. This internal audit ledger is physically and logically segregated from the primary AIVU network, ensuring that even a compromised systems architect cannot alter the history of their actions.</w:t>
      </w:r>
    </w:p>
    <w:p w14:paraId="055F2962" w14:textId="77777777" w:rsidR="00E44DE0" w:rsidRDefault="00000000">
      <w:pPr>
        <w:numPr>
          <w:ilvl w:val="0"/>
          <w:numId w:val="52"/>
        </w:numPr>
      </w:pPr>
      <w:r>
        <w:rPr>
          <w:b/>
          <w:bCs/>
        </w:rPr>
        <w:t>3.5 Atomic Decoupling at the API Endpoint:</w:t>
      </w:r>
      <w:r>
        <w:t xml:space="preserve"> To render off-platform data collusion mathematically impossible, the API endpoint applies segment-specific cryptographic salting. If a Lender and an OEM pull data on the same asset, they receive completely different, hashed primary keys, physically blocking institutional customers from triangulating identities via external market data.</w:t>
      </w:r>
    </w:p>
    <w:p w14:paraId="2EC34994" w14:textId="77777777" w:rsidR="00E44DE0" w:rsidRDefault="00E44DE0"/>
    <w:p w14:paraId="14EA765B" w14:textId="77777777" w:rsidR="00E44DE0" w:rsidRDefault="00000000">
      <w:pPr>
        <w:pStyle w:val="Heading2"/>
        <w:rPr>
          <w:b/>
          <w:bCs/>
          <w:sz w:val="28"/>
          <w:szCs w:val="28"/>
        </w:rPr>
      </w:pPr>
      <w:bookmarkStart w:id="89" w:name="_Toc229320763"/>
      <w:r>
        <w:rPr>
          <w:b/>
          <w:bCs/>
          <w:sz w:val="28"/>
          <w:szCs w:val="28"/>
        </w:rPr>
        <w:lastRenderedPageBreak/>
        <w:t>4. Competitive Positioning (The "AIVU Gap")</w:t>
      </w:r>
      <w:bookmarkEnd w:id="89"/>
    </w:p>
    <w:p w14:paraId="01CB2E65" w14:textId="77777777" w:rsidR="00E44DE0" w:rsidRDefault="00000000">
      <w:r>
        <w:t>While several "partial" competitors exist, they fail to reach AIVU's level of rigor because they lack the proprietary "Source of Truth" data required to calculate actual capacity in real-time. Most industry players are focused on "Break/Fix" diagnostics or marketing leads for contractors.</w:t>
      </w:r>
    </w:p>
    <w:p w14:paraId="6ABF880B" w14:textId="77777777" w:rsidR="00E44DE0" w:rsidRDefault="00000000">
      <w:pPr>
        <w:numPr>
          <w:ilvl w:val="0"/>
          <w:numId w:val="51"/>
        </w:numPr>
      </w:pPr>
      <w:proofErr w:type="spellStart"/>
      <w:r>
        <w:rPr>
          <w:b/>
          <w:bCs/>
        </w:rPr>
        <w:t>SmartAC</w:t>
      </w:r>
      <w:proofErr w:type="spellEnd"/>
      <w:r>
        <w:rPr>
          <w:b/>
          <w:bCs/>
        </w:rPr>
        <w:t xml:space="preserve"> and HVAC Monitoring Kits:</w:t>
      </w:r>
      <w:r>
        <w:t xml:space="preserve"> These platforms are lead-generation tools for contractors. They track basic health and "runtime" (on/off signals), but they do not measure delivered capacity in BTU/h. They cannot prove the system is performing to the original engineering design (Manual J).</w:t>
      </w:r>
    </w:p>
    <w:p w14:paraId="50D30668" w14:textId="77777777" w:rsidR="00E44DE0" w:rsidRDefault="00000000">
      <w:pPr>
        <w:numPr>
          <w:ilvl w:val="1"/>
          <w:numId w:val="51"/>
        </w:numPr>
      </w:pPr>
      <w:r>
        <w:rPr>
          <w:i/>
          <w:iCs/>
        </w:rPr>
        <w:t>Positioning:</w:t>
      </w:r>
      <w:r>
        <w:t xml:space="preserve"> "They are in the business of finding problems so contractors can sell more parts. We are in the business of proving the absence of problems so you can protect your margin and defend against liability".</w:t>
      </w:r>
    </w:p>
    <w:p w14:paraId="4AA9B0A7" w14:textId="77777777" w:rsidR="00E44DE0" w:rsidRDefault="00000000">
      <w:pPr>
        <w:numPr>
          <w:ilvl w:val="0"/>
          <w:numId w:val="51"/>
        </w:numPr>
      </w:pPr>
      <w:r>
        <w:rPr>
          <w:b/>
          <w:bCs/>
        </w:rPr>
        <w:t>Consumer Gadgets (Nest/</w:t>
      </w:r>
      <w:proofErr w:type="spellStart"/>
      <w:r>
        <w:rPr>
          <w:b/>
          <w:bCs/>
        </w:rPr>
        <w:t>Ecobee</w:t>
      </w:r>
      <w:proofErr w:type="spellEnd"/>
      <w:r>
        <w:rPr>
          <w:b/>
          <w:bCs/>
        </w:rPr>
        <w:t>):</w:t>
      </w:r>
      <w:r>
        <w:t xml:space="preserve"> These are essentially "blind" devices. While they can tell if a room is hot, they cannot determine </w:t>
      </w:r>
      <w:r>
        <w:rPr>
          <w:i/>
          <w:iCs/>
        </w:rPr>
        <w:t>why</w:t>
      </w:r>
      <w:r>
        <w:t>. They track temperature drift but have no way to isolate internal heat loads (caused by appliances) from external heat transfer (caused by some fraction of the weather entering through the envelope).</w:t>
      </w:r>
    </w:p>
    <w:p w14:paraId="6AEACD95" w14:textId="77777777" w:rsidR="00E44DE0" w:rsidRDefault="00000000">
      <w:pPr>
        <w:numPr>
          <w:ilvl w:val="1"/>
          <w:numId w:val="51"/>
        </w:numPr>
      </w:pPr>
      <w:r>
        <w:rPr>
          <w:i/>
          <w:iCs/>
        </w:rPr>
        <w:t>Positioning:</w:t>
      </w:r>
      <w:r>
        <w:t xml:space="preserve"> "A thermostat only knows the room is hot. It doesn't know if the AC is low on refrigerant, the </w:t>
      </w:r>
      <w:proofErr w:type="spellStart"/>
      <w:r>
        <w:t>reurn</w:t>
      </w:r>
      <w:proofErr w:type="spellEnd"/>
      <w:r>
        <w:t xml:space="preserve"> filter is clogged, the insulation was never installed correctly, or if the homeowner left the windows open. AIVU is the only system that isolates the physics to tell you exactly what is happening inside the walls".</w:t>
      </w:r>
    </w:p>
    <w:p w14:paraId="4CDDC1F1" w14:textId="77777777" w:rsidR="00E44DE0" w:rsidRDefault="00000000">
      <w:pPr>
        <w:numPr>
          <w:ilvl w:val="0"/>
          <w:numId w:val="51"/>
        </w:numPr>
      </w:pPr>
      <w:r>
        <w:rPr>
          <w:b/>
          <w:bCs/>
        </w:rPr>
        <w:t xml:space="preserve">Manufacturers (Carrier </w:t>
      </w:r>
      <w:proofErr w:type="spellStart"/>
      <w:r>
        <w:rPr>
          <w:b/>
          <w:bCs/>
        </w:rPr>
        <w:t>InteliSense</w:t>
      </w:r>
      <w:proofErr w:type="spellEnd"/>
      <w:r>
        <w:rPr>
          <w:b/>
          <w:bCs/>
        </w:rPr>
        <w:t>):</w:t>
      </w:r>
      <w:r>
        <w:t xml:space="preserve"> Carrier is doubling down on contractor support. Their sensors track liquid and suction line pressures to help technicians find a fault </w:t>
      </w:r>
      <w:r>
        <w:rPr>
          <w:i/>
          <w:iCs/>
        </w:rPr>
        <w:t>after</w:t>
      </w:r>
      <w:r>
        <w:t xml:space="preserve"> it occurs. They do not calculate the home's thermal mass or conduct envelope commissioning to identify the root cause; they are built for generating repair orders, not for validating construction quality or rightsizing.</w:t>
      </w:r>
    </w:p>
    <w:p w14:paraId="72661B48" w14:textId="77777777" w:rsidR="00E44DE0" w:rsidRDefault="00000000">
      <w:pPr>
        <w:numPr>
          <w:ilvl w:val="1"/>
          <w:numId w:val="51"/>
        </w:numPr>
      </w:pPr>
      <w:r>
        <w:rPr>
          <w:i/>
          <w:iCs/>
        </w:rPr>
        <w:t>Positioning:</w:t>
      </w:r>
      <w:r>
        <w:t xml:space="preserve"> "Carrier's tools help a tech fix a faulty machine. Our tools help a builder to prove that the house was built correctly. Carrier doesn't even care whether the house has a building envelope; we track its performance every hour of every day".</w:t>
      </w:r>
    </w:p>
    <w:p w14:paraId="5231861A" w14:textId="77777777" w:rsidR="00E44DE0" w:rsidRDefault="00000000">
      <w:pPr>
        <w:numPr>
          <w:ilvl w:val="0"/>
          <w:numId w:val="51"/>
        </w:numPr>
      </w:pPr>
      <w:r>
        <w:rPr>
          <w:b/>
          <w:bCs/>
        </w:rPr>
        <w:t>HERS Raters and Consultants:</w:t>
      </w:r>
      <w:r>
        <w:t xml:space="preserve"> These firms only provide a "snapshot" of performance during a one-time final inspection. They do not observe the home across all four seasons and under real-life operating conditions - which is required to truly verify the building envelope's efficacy.</w:t>
      </w:r>
    </w:p>
    <w:p w14:paraId="50F27154" w14:textId="77777777" w:rsidR="00E44DE0" w:rsidRDefault="00E44DE0"/>
    <w:p w14:paraId="7FF29434" w14:textId="77777777" w:rsidR="00E44DE0" w:rsidRDefault="00000000">
      <w:pPr>
        <w:pStyle w:val="Heading2"/>
        <w:rPr>
          <w:b/>
          <w:bCs/>
          <w:sz w:val="28"/>
          <w:szCs w:val="28"/>
        </w:rPr>
      </w:pPr>
      <w:r>
        <w:rPr>
          <w:b/>
          <w:bCs/>
          <w:sz w:val="28"/>
          <w:szCs w:val="28"/>
        </w:rPr>
        <w:t xml:space="preserve">5. </w:t>
      </w:r>
      <w:r>
        <w:rPr>
          <w:b/>
          <w:bCs/>
        </w:rPr>
        <w:t>Computational Economics &amp; Infrastructure Scaling</w:t>
      </w:r>
    </w:p>
    <w:p w14:paraId="182C964A" w14:textId="77777777" w:rsidR="00E44DE0" w:rsidRDefault="00000000">
      <w:r>
        <w:rPr>
          <w:b/>
          <w:bCs/>
        </w:rPr>
        <w:lastRenderedPageBreak/>
        <w:t>Objective:</w:t>
      </w:r>
      <w:r>
        <w:t xml:space="preserve"> To define the structural unit economics of the AIVU compute architecture, proving that the system maintains &gt;85% software-like gross margins as the physical network scales from a 50-home trial to a 10,000-home national deployment.</w:t>
      </w:r>
    </w:p>
    <w:p w14:paraId="018E510E" w14:textId="77777777" w:rsidR="00E44DE0" w:rsidRDefault="00000000">
      <w:pPr>
        <w:pStyle w:val="Heading2"/>
      </w:pPr>
      <w:bookmarkStart w:id="90" w:name="_Toc229320764"/>
      <w:r>
        <w:rPr>
          <w:b/>
          <w:bCs/>
        </w:rPr>
        <w:t>Node 1: Edge Compute Economics (The HPM)</w:t>
      </w:r>
      <w:bookmarkEnd w:id="90"/>
    </w:p>
    <w:p w14:paraId="4BC83417" w14:textId="77777777" w:rsidR="00E44DE0" w:rsidRDefault="00000000">
      <w:r>
        <w:t>The primary cost trap for IoT networks is the bandwidth and cloud-compute required to process high-frequency telemetry. AIVU structurally avoids this by pushing inference to the edge.</w:t>
      </w:r>
    </w:p>
    <w:p w14:paraId="5A83446D" w14:textId="77777777" w:rsidR="00E44DE0" w:rsidRDefault="00000000">
      <w:pPr>
        <w:numPr>
          <w:ilvl w:val="0"/>
          <w:numId w:val="53"/>
        </w:numPr>
      </w:pPr>
      <w:r>
        <w:rPr>
          <w:b/>
          <w:bCs/>
        </w:rPr>
        <w:t xml:space="preserve">Hardware </w:t>
      </w:r>
      <w:proofErr w:type="spellStart"/>
      <w:r>
        <w:rPr>
          <w:b/>
          <w:bCs/>
        </w:rPr>
        <w:t>CapEx</w:t>
      </w:r>
      <w:proofErr w:type="spellEnd"/>
      <w:r>
        <w:rPr>
          <w:b/>
          <w:bCs/>
        </w:rPr>
        <w:t xml:space="preserve"> (Amortized at Installation):</w:t>
      </w:r>
      <w:r>
        <w:t xml:space="preserve"> The ~$1,500–$2,000 cost of the industrial HPM hardware, Eaton Breakers, and Venturis is fully absorbed by the builder’s Day-1 </w:t>
      </w:r>
      <w:proofErr w:type="spellStart"/>
      <w:r>
        <w:t>CapEx</w:t>
      </w:r>
      <w:proofErr w:type="spellEnd"/>
      <w:r>
        <w:t xml:space="preserve"> dividend, warranty releases, and time limited exclusivity for new subdivisions. AIVU carries zero depreciating hardware on its balance sheet.</w:t>
      </w:r>
    </w:p>
    <w:p w14:paraId="78E4E861" w14:textId="77777777" w:rsidR="00E44DE0" w:rsidRDefault="00000000">
      <w:pPr>
        <w:numPr>
          <w:ilvl w:val="0"/>
          <w:numId w:val="53"/>
        </w:numPr>
      </w:pPr>
      <w:r>
        <w:rPr>
          <w:b/>
          <w:bCs/>
        </w:rPr>
        <w:t>Edge Inference (Zero Marginal Cost):</w:t>
      </w:r>
      <w:r>
        <w:t xml:space="preserve"> The HPM executes the real-time control loop locally using certainty-equivalent controller parameters received from the BDT and signed by the Clearinghouse. Because the HPM processes the 1 Hz telemetry and makes HVAC decisions on the device using a compact parameter set — not the full PINN — the compute cost is trivial and borne by the home, not the AIVU cloud. The PINN itself lives entirely in the BDT, where it is trained and refined on the slower timescale of hours to days.</w:t>
      </w:r>
    </w:p>
    <w:p w14:paraId="00B3C8D4" w14:textId="77777777" w:rsidR="00E44DE0" w:rsidRDefault="00000000">
      <w:pPr>
        <w:numPr>
          <w:ilvl w:val="0"/>
          <w:numId w:val="53"/>
        </w:numPr>
      </w:pPr>
      <w:r>
        <w:rPr>
          <w:b/>
          <w:bCs/>
        </w:rPr>
        <w:t>Bandwidth Optimization:</w:t>
      </w:r>
      <w:r>
        <w:t xml:space="preserve"> The system does not stream raw 1Hz data continuously. It utilizes asynchronous batching—compressing telemetry and uploading it in 15-minute intervals. This reduces cellular/ISP bandwidth costs by orders of magnitude compared to continuous streaming protocols.</w:t>
      </w:r>
    </w:p>
    <w:p w14:paraId="0C2C1C99" w14:textId="77777777" w:rsidR="00E44DE0" w:rsidRDefault="00E44DE0">
      <w:pPr>
        <w:rPr>
          <w:b/>
          <w:bCs/>
        </w:rPr>
      </w:pPr>
    </w:p>
    <w:p w14:paraId="1351DA2D" w14:textId="77777777" w:rsidR="00E44DE0" w:rsidRDefault="00000000">
      <w:pPr>
        <w:pStyle w:val="Heading2"/>
      </w:pPr>
      <w:bookmarkStart w:id="91" w:name="_Toc229320765"/>
      <w:r>
        <w:rPr>
          <w:b/>
          <w:bCs/>
        </w:rPr>
        <w:t>Node 2: Cloud Compute Economics (The Big Digital Twin)</w:t>
      </w:r>
      <w:bookmarkEnd w:id="91"/>
    </w:p>
    <w:p w14:paraId="462B9EFE" w14:textId="77777777" w:rsidR="00E44DE0" w:rsidRDefault="00000000">
      <w:r>
        <w:t xml:space="preserve">Legacy </w:t>
      </w:r>
      <w:proofErr w:type="spellStart"/>
      <w:r>
        <w:t>PropTech</w:t>
      </w:r>
      <w:proofErr w:type="spellEnd"/>
      <w:r>
        <w:t xml:space="preserve"> (Property-based Technology) fails because simulating tens of thousands of dynamic physics models in real-time results in an exponential cloud bill that destroys profitability. AIVU replaces brute-force calculation with "Graph-Based Parameter Propagation."</w:t>
      </w:r>
    </w:p>
    <w:p w14:paraId="127F3FAB" w14:textId="77777777" w:rsidR="00E44DE0" w:rsidRDefault="00000000">
      <w:pPr>
        <w:numPr>
          <w:ilvl w:val="0"/>
          <w:numId w:val="54"/>
        </w:numPr>
      </w:pPr>
      <w:r>
        <w:rPr>
          <w:b/>
          <w:bCs/>
        </w:rPr>
        <w:t>Phase 0 Asymmetric Compute:</w:t>
      </w:r>
      <w:r>
        <w:t xml:space="preserve"> The heaviest compute lift (running the 8,760-hour </w:t>
      </w:r>
      <w:proofErr w:type="spellStart"/>
      <w:r>
        <w:t>EnergyPlus</w:t>
      </w:r>
      <w:proofErr w:type="spellEnd"/>
      <w:r>
        <w:t xml:space="preserve"> synthetic load profile) occurs exactly </w:t>
      </w:r>
      <w:r>
        <w:rPr>
          <w:i/>
          <w:iCs/>
        </w:rPr>
        <w:t>once</w:t>
      </w:r>
      <w:r>
        <w:t xml:space="preserve"> per floorplan/climate zone before the home is built. This utilizes spot-pricing on Google Cloud Batch, keeping initialization costs negligible.</w:t>
      </w:r>
    </w:p>
    <w:p w14:paraId="36BA46A2" w14:textId="77777777" w:rsidR="00E44DE0" w:rsidRDefault="00000000">
      <w:pPr>
        <w:numPr>
          <w:ilvl w:val="0"/>
          <w:numId w:val="54"/>
        </w:numPr>
      </w:pPr>
      <w:r>
        <w:rPr>
          <w:b/>
          <w:bCs/>
        </w:rPr>
        <w:t>Breaking the 1:1 Compute Ratio:</w:t>
      </w:r>
      <w:r>
        <w:t xml:space="preserve"> As the network grows, AIVU does not maintain 10,000 individual, active simulations. It maintains one overarching baseline mapped to a Neo4j Graph Database.</w:t>
      </w:r>
    </w:p>
    <w:p w14:paraId="23348195" w14:textId="77777777" w:rsidR="00E44DE0" w:rsidRDefault="00000000">
      <w:pPr>
        <w:numPr>
          <w:ilvl w:val="0"/>
          <w:numId w:val="54"/>
        </w:numPr>
      </w:pPr>
      <w:r>
        <w:rPr>
          <w:b/>
          <w:bCs/>
        </w:rPr>
        <w:lastRenderedPageBreak/>
        <w:t>Atomic Parameter Updates:</w:t>
      </w:r>
      <w:r>
        <w:t xml:space="preserve"> When the N=90 cohort achieves statistical maturity and identifies a physics shift, the Big Digital Twin executes a lightweight graph traversal to find tagged homes and pushes a discrete coefficient update. This enables linear cloud-cost scaling, maintaining high gross margins regardless of fleet size.</w:t>
      </w:r>
    </w:p>
    <w:p w14:paraId="305BE49B" w14:textId="77777777" w:rsidR="00E44DE0" w:rsidRDefault="00000000">
      <w:pPr>
        <w:pStyle w:val="Heading2"/>
      </w:pPr>
      <w:bookmarkStart w:id="92" w:name="_Toc229320766"/>
      <w:r>
        <w:rPr>
          <w:b/>
          <w:bCs/>
        </w:rPr>
        <w:t>Node 3: The Clearinghouse (Agentic Customer Servicing)</w:t>
      </w:r>
      <w:bookmarkEnd w:id="92"/>
    </w:p>
    <w:p w14:paraId="505DDFFB" w14:textId="77777777" w:rsidR="00E44DE0" w:rsidRDefault="00000000">
      <w:r>
        <w:t>The final friction point in monetizing deep data is the human cost of "retailing" it. Institutional customers (OEMs, Lenders, Insurers) typically require expensive human data engineers and account managers to write complex SQL queries to extract value from a platform.</w:t>
      </w:r>
    </w:p>
    <w:p w14:paraId="3C667993" w14:textId="77777777" w:rsidR="00E44DE0" w:rsidRDefault="00000000">
      <w:pPr>
        <w:numPr>
          <w:ilvl w:val="0"/>
          <w:numId w:val="55"/>
        </w:numPr>
      </w:pPr>
      <w:r>
        <w:rPr>
          <w:b/>
          <w:bCs/>
        </w:rPr>
        <w:t>The Agentic AI "Data Concierge":</w:t>
      </w:r>
      <w:r>
        <w:t xml:space="preserve"> To protect margins, the Clearinghouse utilizes a highly constrained, agentic Large Language Model as the primary user interface for the Institutional "Truth Portal".</w:t>
      </w:r>
    </w:p>
    <w:p w14:paraId="4252CAA1" w14:textId="77777777" w:rsidR="00E44DE0" w:rsidRDefault="00000000">
      <w:pPr>
        <w:numPr>
          <w:ilvl w:val="0"/>
          <w:numId w:val="55"/>
        </w:numPr>
      </w:pPr>
      <w:r>
        <w:rPr>
          <w:b/>
          <w:bCs/>
        </w:rPr>
        <w:t>Natural Language to Matrix Slicing:</w:t>
      </w:r>
      <w:r>
        <w:t xml:space="preserve"> Instead of AIVU hiring analysts to build custom reports, an OEM executive simply </w:t>
      </w:r>
      <w:proofErr w:type="gramStart"/>
      <w:r>
        <w:t>has to</w:t>
      </w:r>
      <w:proofErr w:type="gramEnd"/>
      <w:r>
        <w:t xml:space="preserve"> type a plain English query: </w:t>
      </w:r>
      <w:r>
        <w:rPr>
          <w:i/>
          <w:iCs/>
        </w:rPr>
        <w:t>"Show me the failure rates of 3-ton compressors in ASHRAE Zone 2B over the last 6 months, correlated with household income."</w:t>
      </w:r>
    </w:p>
    <w:p w14:paraId="7D344E3D" w14:textId="77777777" w:rsidR="00E44DE0" w:rsidRDefault="00000000">
      <w:pPr>
        <w:numPr>
          <w:ilvl w:val="0"/>
          <w:numId w:val="55"/>
        </w:numPr>
      </w:pPr>
      <w:r>
        <w:rPr>
          <w:b/>
          <w:bCs/>
        </w:rPr>
        <w:t>Zero-Marginal-Cost Retailing:</w:t>
      </w:r>
      <w:r>
        <w:t xml:space="preserve"> The Agentic AI parses the natural language, writes the query for the Neo4j/</w:t>
      </w:r>
      <w:proofErr w:type="spellStart"/>
      <w:r>
        <w:t>InfluxDB</w:t>
      </w:r>
      <w:proofErr w:type="spellEnd"/>
      <w:r>
        <w:t xml:space="preserve"> backend, retrieves the cryptographically secured payload, and generates a visual dashboard instantly.</w:t>
      </w:r>
    </w:p>
    <w:p w14:paraId="5AAA6C80" w14:textId="77777777" w:rsidR="00E44DE0" w:rsidRDefault="00000000">
      <w:pPr>
        <w:numPr>
          <w:ilvl w:val="0"/>
          <w:numId w:val="55"/>
        </w:numPr>
      </w:pPr>
      <w:r>
        <w:rPr>
          <w:b/>
          <w:bCs/>
        </w:rPr>
        <w:t>Financial Impact:</w:t>
      </w:r>
      <w:r>
        <w:t xml:space="preserve"> This architecture allows AIVU to service thousands of institutional data subscriptions simultaneously without scaling headcount, securing traditional SaaS gross margins (&gt;85%) on all Clearinghouse revenue.</w:t>
      </w:r>
    </w:p>
    <w:p w14:paraId="57114B62" w14:textId="77777777" w:rsidR="00E44DE0" w:rsidRDefault="00000000">
      <w:pPr>
        <w:pStyle w:val="Heading2"/>
      </w:pPr>
      <w:bookmarkStart w:id="93" w:name="_Toc229320767"/>
      <w:r>
        <w:rPr>
          <w:b/>
          <w:bCs/>
          <w:sz w:val="28"/>
          <w:szCs w:val="28"/>
        </w:rPr>
        <w:t>6. The Integrity Model</w:t>
      </w:r>
      <w:bookmarkEnd w:id="93"/>
    </w:p>
    <w:p w14:paraId="4D85C31F" w14:textId="77777777" w:rsidR="00E44DE0" w:rsidRDefault="00000000">
      <w:r>
        <w:t xml:space="preserve">AIVU’s integrity model is system-wide cryptographic, not node-delegated institutional. Tamper-evidence is a property of the data itself, established by cryptographic commitment </w:t>
      </w:r>
      <w:proofErr w:type="gramStart"/>
      <w:r>
        <w:t>at the moment</w:t>
      </w:r>
      <w:proofErr w:type="gramEnd"/>
      <w:r>
        <w:t xml:space="preserve"> of recording, verifiable independently by any party holding the commitment. Origination provenance is established by per-packet signature at the originating node (the HPM) plus quorum attestation at commitment boundaries (any two of HPM, BDT, Clearinghouse). Long-term integrity does not depend on AIVU’s continued cooperation: public anchoring to Bitcoin establishes an external witness outside AIVU’s institutional reach.</w:t>
      </w:r>
    </w:p>
    <w:p w14:paraId="1F9B51E8" w14:textId="77777777" w:rsidR="00E44DE0" w:rsidRDefault="00000000">
      <w:r>
        <w:t xml:space="preserve">This is a structural rather than institutional answer to the question of audit-trail integrity. AIVU v2.5 inherited an institutional answer — the Clearinghouse as exclusive neutral custodian of raw 1 Hz telemetry, with non-tampering established by structural separation of access. v2.6 supersedes that institutional answer with a structural cryptographic answer that is stronger on every relevant axis: scalability (verification cost is logarithmic regardless of chain length or installation age), security (no single-node compromise produces a forged authoritative record), legal admissibility (the evidentiary claim moves from "held by a neutral third-party custodian" to </w:t>
      </w:r>
      <w:r>
        <w:lastRenderedPageBreak/>
        <w:t>"cryptographically provable to have not been altered since the moment of recording, by any party including AIVU itself"), and institutional verifiability (any party with the open-source verification library can independently confirm AIVU’s records). The Clearinghouse retains its role in adjudication — Behavioral Load Isolation, Choice-vs-Failure, the First Law check, the Five Sigma Statistical Quarantine — but is no longer the exclusive custodian of integrity.</w:t>
      </w:r>
    </w:p>
    <w:p w14:paraId="24A1FC5D" w14:textId="77777777" w:rsidR="00E44DE0" w:rsidRDefault="00000000">
      <w:pPr>
        <w:pStyle w:val="Heading3"/>
      </w:pPr>
      <w:bookmarkStart w:id="94" w:name="_Toc229320768"/>
      <w:r>
        <w:rPr>
          <w:b/>
          <w:bCs/>
        </w:rPr>
        <w:t>6.1 Commitment Primitive: Merkle Mountain Range</w:t>
      </w:r>
      <w:bookmarkEnd w:id="94"/>
    </w:p>
    <w:p w14:paraId="755B2F68" w14:textId="77777777" w:rsidR="00E44DE0" w:rsidRDefault="00000000">
      <w:r>
        <w:t xml:space="preserve">Every 1 Hz telemetry packet produced by the HPM is appended to a Merkle Mountain Range (MMR) </w:t>
      </w:r>
      <w:proofErr w:type="gramStart"/>
      <w:r>
        <w:t>at the moment</w:t>
      </w:r>
      <w:proofErr w:type="gramEnd"/>
      <w:r>
        <w:t xml:space="preserve"> of production. MMR append cost is logarithmic in chain length; verification of any single packet, or any contiguous range of packets, is also logarithmic. Commitment is continuous, not batched. The 15-minute heartbeat in §1.1 is preserved as an operational uplink and health-check cadence but is decoupled from cryptographic commitment. A single packet drawn from year 27 of a 30-year installation verifies in microseconds against the current MMR root.</w:t>
      </w:r>
    </w:p>
    <w:p w14:paraId="4636AEC1" w14:textId="77777777" w:rsidR="00E44DE0" w:rsidRDefault="00000000">
      <w:pPr>
        <w:pStyle w:val="Heading3"/>
      </w:pPr>
      <w:bookmarkStart w:id="95" w:name="_Toc229320769"/>
      <w:r>
        <w:rPr>
          <w:b/>
          <w:bCs/>
        </w:rPr>
        <w:t>6.2 Two-Tier Signing</w:t>
      </w:r>
      <w:bookmarkEnd w:id="95"/>
    </w:p>
    <w:p w14:paraId="3ADAF343" w14:textId="77777777" w:rsidR="00E44DE0" w:rsidRDefault="00000000">
      <w:r>
        <w:t xml:space="preserve">Every 1 Hz packet is signed by the HPM </w:t>
      </w:r>
      <w:proofErr w:type="gramStart"/>
      <w:r>
        <w:t>at the moment</w:t>
      </w:r>
      <w:proofErr w:type="gramEnd"/>
      <w:r>
        <w:t xml:space="preserve"> of production using an Ed25519 (or equivalent) signature over the packet contents. Per-packet signing closes the gap between packet production and MMR commitment: even an uncommitted packet carries HPM authority and stands alone as forensic evidence. Above this layer, MMR root snapshots are attested by a 2-of-3 threshold signature among the HPM, the BDT, and the Clearinghouse. No single-node compromise produces a valid root attestation; two of the three nodes must coordinate. The HPM cannot self-attest; neither can the BDT alone, nor the Clearinghouse alone. The threshold key shares are produced by a Distributed Key Generation ceremony at Born Educated initialization and held by each node separately.</w:t>
      </w:r>
    </w:p>
    <w:p w14:paraId="7CB32050" w14:textId="77777777" w:rsidR="00E44DE0" w:rsidRDefault="00000000">
      <w:r>
        <w:t>Degraded mode preserves ISP independence. The HPM continues to record packets, sign them per-packet, and append to its local MMR through outages of any duration. If the HPM can reach either the BDT or the Clearinghouse but not both, a 2-of-2 partial quorum produces a valid attestation. If neither is reachable, root snapshots queue locally and are attested when connectivity returns. The HPM-plus-one rule is the floor: an HPM operating alone with no cloud reachability does not self-attest. Outages are recorded in the audit trail as discrete events ("HPM operated in degraded mode from T1 to T2; N packets and M root snapshots were queued and committed at T2") rather than appearing as gaps. This produces a stronger evidentiary record than batch-replicated systems where outage windows are silent.</w:t>
      </w:r>
    </w:p>
    <w:p w14:paraId="7EEB8822" w14:textId="77777777" w:rsidR="00E44DE0" w:rsidRDefault="00000000">
      <w:pPr>
        <w:pStyle w:val="Heading3"/>
      </w:pPr>
      <w:bookmarkStart w:id="96" w:name="_Toc229320770"/>
      <w:r>
        <w:rPr>
          <w:b/>
          <w:bCs/>
        </w:rPr>
        <w:t xml:space="preserve">6.3 Public Anchoring: </w:t>
      </w:r>
      <w:proofErr w:type="spellStart"/>
      <w:r>
        <w:rPr>
          <w:b/>
          <w:bCs/>
        </w:rPr>
        <w:t>OpenTimestamps</w:t>
      </w:r>
      <w:proofErr w:type="spellEnd"/>
      <w:r>
        <w:rPr>
          <w:b/>
          <w:bCs/>
        </w:rPr>
        <w:t xml:space="preserve"> to Bitcoin</w:t>
      </w:r>
      <w:bookmarkEnd w:id="96"/>
    </w:p>
    <w:p w14:paraId="2CD26FEC" w14:textId="77777777" w:rsidR="00E44DE0" w:rsidRDefault="00000000">
      <w:r>
        <w:t xml:space="preserve">MMR roots are anchored to the Bitcoin blockchain via the </w:t>
      </w:r>
      <w:proofErr w:type="spellStart"/>
      <w:r>
        <w:t>OpenTimestamps</w:t>
      </w:r>
      <w:proofErr w:type="spellEnd"/>
      <w:r>
        <w:t xml:space="preserve"> service. The cryptographic substrate is Bitcoin specifically, not "a blockchain" in the abstract: Bitcoin’s sixteen-year operational history, proof-of-work-secured network, and institutional recognition make it the strongest single anchoring substrate available. </w:t>
      </w:r>
      <w:proofErr w:type="spellStart"/>
      <w:r>
        <w:t>OpenTimestamps</w:t>
      </w:r>
      <w:proofErr w:type="spellEnd"/>
      <w:r>
        <w:t xml:space="preserve"> is the convenience </w:t>
      </w:r>
      <w:r>
        <w:lastRenderedPageBreak/>
        <w:t xml:space="preserve">layer that makes anchoring efficient; once anchored, proofs verify directly against Bitcoin without </w:t>
      </w:r>
      <w:proofErr w:type="spellStart"/>
      <w:r>
        <w:t>OpenTimestamps</w:t>
      </w:r>
      <w:proofErr w:type="spellEnd"/>
      <w:r>
        <w:t xml:space="preserve"> continuing to operate. Cadence: a single fleet-level anchor per day (one Bitcoin transaction regardless of fleet size, so anchoring cost does not scale with growth), plus per-event home-level evidentiary anchors at moments of evidentiary significance — end-of-Day-2 and end-of-Day-5 commissioning posteriors, drift events flagged by </w:t>
      </w:r>
      <w:proofErr w:type="spellStart"/>
      <w:r>
        <w:t>aivu_greybox</w:t>
      </w:r>
      <w:proofErr w:type="spellEnd"/>
      <w:r>
        <w:t xml:space="preserve"> in Phase 2, and any moment subsequently identified as claim-relevant.</w:t>
      </w:r>
    </w:p>
    <w:p w14:paraId="201C760C" w14:textId="77777777" w:rsidR="00E44DE0" w:rsidRDefault="00000000">
      <w:pPr>
        <w:pStyle w:val="Heading3"/>
      </w:pPr>
      <w:bookmarkStart w:id="97" w:name="_Toc229320771"/>
      <w:r>
        <w:rPr>
          <w:b/>
          <w:bCs/>
        </w:rPr>
        <w:t>6.4 Data Residency and Replication</w:t>
      </w:r>
      <w:bookmarkEnd w:id="97"/>
    </w:p>
    <w:p w14:paraId="7EE95E82" w14:textId="77777777" w:rsidR="00E44DE0" w:rsidRDefault="00000000">
      <w:r>
        <w:t xml:space="preserve">Raw 1 Hz telemetry is HPM-resident under normal operations. The HPM-resident </w:t>
      </w:r>
      <w:proofErr w:type="spellStart"/>
      <w:r>
        <w:t>aivu_greybox</w:t>
      </w:r>
      <w:proofErr w:type="spellEnd"/>
      <w:r>
        <w:t xml:space="preserve"> identifier produces envelope posteriors locally; the HPM uplinks the posterior (signed and MMR-committed) to the BDT inside an </w:t>
      </w:r>
      <w:proofErr w:type="spellStart"/>
      <w:r>
        <w:t>aivu_hpm</w:t>
      </w:r>
      <w:proofErr w:type="spellEnd"/>
      <w:r>
        <w:t>-authored modification request. Raw telemetry does not stream continuously to the BDT. When verification is requested — by the BDT for PINN training quality control, by the Clearinghouse for audit, or by an external verifier presented with an MMR root and an inclusion proof — the HPM serves the underlying telemetry on demand, authenticated against the requested MMR inclusion proof. Replication is asynchronous batch with eventual consistency; BDT and Clearinghouse channels are independent, and each reconciles gaps independently using MMR leaf-index-based gap detection.</w:t>
      </w:r>
    </w:p>
    <w:p w14:paraId="59DB8B40" w14:textId="77777777" w:rsidR="00E44DE0" w:rsidRDefault="00000000">
      <w:pPr>
        <w:pStyle w:val="Heading3"/>
      </w:pPr>
      <w:bookmarkStart w:id="98" w:name="_Toc229320772"/>
      <w:r>
        <w:rPr>
          <w:b/>
          <w:bCs/>
        </w:rPr>
        <w:t xml:space="preserve">6.5 The </w:t>
      </w:r>
      <w:proofErr w:type="spellStart"/>
      <w:r>
        <w:rPr>
          <w:b/>
          <w:bCs/>
        </w:rPr>
        <w:t>aivu_integrity</w:t>
      </w:r>
      <w:proofErr w:type="spellEnd"/>
      <w:r>
        <w:rPr>
          <w:b/>
          <w:bCs/>
        </w:rPr>
        <w:t xml:space="preserve"> Package and the Open-Source Verification Library</w:t>
      </w:r>
      <w:bookmarkEnd w:id="98"/>
    </w:p>
    <w:p w14:paraId="5679F0FD" w14:textId="77777777" w:rsidR="00E44DE0" w:rsidRDefault="00000000">
      <w:r>
        <w:t xml:space="preserve">The cryptographic infrastructure described above is consolidated in a single package, </w:t>
      </w:r>
      <w:proofErr w:type="spellStart"/>
      <w:r>
        <w:t>aivu_integrity</w:t>
      </w:r>
      <w:proofErr w:type="spellEnd"/>
      <w:r>
        <w:t xml:space="preserve">, used by all three AIVU nodes (HPM, BDT, Clearinghouse). The verification half of </w:t>
      </w:r>
      <w:proofErr w:type="spellStart"/>
      <w:r>
        <w:t>aivu_integrity</w:t>
      </w:r>
      <w:proofErr w:type="spellEnd"/>
      <w:r>
        <w:t xml:space="preserve"> is published as an open-source library that any third party can run independently. External verifiers — insurance compliance teams, courts, regulators, builders, institutional customers, individual homeowners — do not depend on AIVU’s cooperation, infrastructure, or continued operation to verify the integrity of AIVU records. Given the audit data and the public anchor proof, any party with the open-source verification library can independently confirm that AIVU’s claimed records are what they say they are. Only the verification side is open-sourced; AIVU’s signing keys, threshold protocols at the production side, and operational infrastructure remain proprietary. External parties get everything they need to verify; nothing they could use to forge.</w:t>
      </w:r>
    </w:p>
    <w:p w14:paraId="1F1EF27A" w14:textId="77777777" w:rsidR="00E44DE0" w:rsidRDefault="00000000">
      <w:r>
        <w:t>The legal admissibility argument in §2 of this Addendum is materially strengthened by this model. The claim moves from "this data was held by a neutral third-party custodian" to "this data is cryptographically provable to have not been altered since the moment of recording, verifiable by multiple independent nodes and by an external public anchor on the Bitcoin blockchain." That is a stronger evidentiary claim than the institutional-custody version it replaces.</w:t>
      </w:r>
    </w:p>
    <w:p w14:paraId="014900A0" w14:textId="77777777" w:rsidR="00E44DE0" w:rsidRDefault="00000000">
      <w:pPr>
        <w:pStyle w:val="Heading1"/>
      </w:pPr>
      <w:bookmarkStart w:id="99" w:name="_Toc229320773"/>
      <w:r>
        <w:rPr>
          <w:b/>
          <w:bCs/>
        </w:rPr>
        <w:lastRenderedPageBreak/>
        <w:t>Edge-Case Coverage and the Two Liability-Protection Mechanisms</w:t>
      </w:r>
      <w:bookmarkEnd w:id="99"/>
    </w:p>
    <w:p w14:paraId="68A9A67B" w14:textId="77777777" w:rsidR="00E44DE0" w:rsidRDefault="00000000">
      <w:r>
        <w:t>A production homebuilder’s liability exposure is concentrated in two distinct risk categories, and AIVU addresses each through a structurally different mechanism.</w:t>
      </w:r>
    </w:p>
    <w:p w14:paraId="4F64AAE7" w14:textId="77777777" w:rsidR="00E44DE0" w:rsidRDefault="00000000">
      <w:r>
        <w:rPr>
          <w:i/>
          <w:iCs/>
        </w:rPr>
        <w:t>Risk category 1 — performance outliers in the tails.</w:t>
      </w:r>
      <w:r>
        <w:t xml:space="preserve"> Liability exposure is concentrated in tail events: the unusual combinations of climate, orientation, envelope characteristics, and equipment that produce warranty claims, escalating comfort complaints, and latent failures that reach litigation. Conventional field-trained models are structurally weakest on exactly these tail events: by construction, the data they learn from is dense where deployment is dense and sparse where deployment is sparse — and tails are </w:t>
      </w:r>
      <w:proofErr w:type="gramStart"/>
      <w:r>
        <w:t>sparse by definition</w:t>
      </w:r>
      <w:proofErr w:type="gramEnd"/>
      <w:r>
        <w:t>.</w:t>
      </w:r>
    </w:p>
    <w:p w14:paraId="63FD4CA3" w14:textId="77777777" w:rsidR="00E44DE0" w:rsidRDefault="00000000">
      <w:r>
        <w:rPr>
          <w:i/>
          <w:iCs/>
        </w:rPr>
        <w:t>Mechanism 1 — a training set that covers the tails by design.</w:t>
      </w:r>
      <w:r>
        <w:t xml:space="preserve"> AIVU’s PINN inverts the field-training weakness. Because AIVU’s training set is generated by AIVU’s validated Phase 1 and Phase 2 physics rather than collected from deployed homes, how thoroughly each combination of climate, envelope, and equipment is covered is a chosen design parameter, not an accident of where homes happen to have been built. The unusual combinations — the ones that produce tail events — are deliberately covered as thoroughly as the common ones, regardless of how many real homes have ever encountered them. The Born Educated baseline a builder receives for any home is therefore grounded in physics that has been worked through for exactly the unusual conditions where field-trained models would otherwise fail. This is a structural property of how AIVU built the training set, not a performance claim requiring per-home validation.</w:t>
      </w:r>
    </w:p>
    <w:p w14:paraId="0771F890" w14:textId="77777777" w:rsidR="00E44DE0" w:rsidRDefault="00000000">
      <w:r>
        <w:rPr>
          <w:i/>
          <w:iCs/>
        </w:rPr>
        <w:t>Risk category 2 — build-quality deviation from specification.</w:t>
      </w:r>
      <w:r>
        <w:t xml:space="preserve"> Liability exposure is also concentrated in the question of whether the as-built home matches what the builder specified. Undetected envelope defects, HVAC installation errors, duct leakage beyond spec, equipment performance below rated — these are the hidden defects that surface as post-occupancy callbacks and remediation costs. Industry practice has been to rely on one-time commissioning snapshots and HERS-rater inspections. HERS does measure some things — blower-door infiltration, register airflow — but not the one that matters most: actual HVAC capacity delivered under operating conditions. The result is paperwork that certifies the easy measurements and stays silent on the hard ones.</w:t>
      </w:r>
    </w:p>
    <w:p w14:paraId="3A595CA4" w14:textId="77777777" w:rsidR="00E44DE0" w:rsidRDefault="00000000">
      <w:r>
        <w:rPr>
          <w:i/>
          <w:iCs/>
        </w:rPr>
        <w:t>Mechanism 2 — the builder’s own pre-occupancy conformance test.</w:t>
      </w:r>
      <w:r>
        <w:t xml:space="preserve"> The 5-Day Pre-Occupancy Window (see HPM §3) is a structured measurement of the as-built home against the performance specification the builder committed to. Envelope half and HVAC half are commissioned independently of each other, eliminating the “compound fracture” that conflates their errors in traditional approaches. The builder sets the tolerance thresholds for acceptable deviation versus deviation requiring fixing; AIVU measures and reports; the builder decides what to do about any shortfalls. The output is a Digital Birth Certificate — two independently signed </w:t>
      </w:r>
      <w:r>
        <w:lastRenderedPageBreak/>
        <w:t>records of conformance, with any builder-accepted minor deviations documented. This is per-home evidence of specification conformance, decided on by the builder, before the homeowner takes occupancy.</w:t>
      </w:r>
    </w:p>
    <w:p w14:paraId="1143DF7D" w14:textId="77777777" w:rsidR="00E44DE0" w:rsidRDefault="00000000">
      <w:r>
        <w:rPr>
          <w:i/>
          <w:iCs/>
        </w:rPr>
        <w:t>The two mechanisms compound.</w:t>
      </w:r>
      <w:r>
        <w:t xml:space="preserve"> They address different risk categories — performance prediction outliers versus build-quality conformance — and they operate at different points in the home’s life. Together they produce a stronger liability argument than either alone: (a) for any home, any weather, any operating condition, the PINN’s prediction has been worked through across every climate, orientation, envelope type, and equipment combination AIVU’s training set covers, including the tails; and (b) for this specific home, build-quality conformance to the builder’s specification has been measured, documented, and decided on by the builder before occupancy. The first protects against the unexpected; the second protects against the unverified.</w:t>
      </w:r>
    </w:p>
    <w:p w14:paraId="73E18511" w14:textId="77777777" w:rsidR="00E44DE0" w:rsidRDefault="00000000">
      <w:r>
        <w:rPr>
          <w:i/>
          <w:iCs/>
        </w:rPr>
        <w:t>Consequence for unit economics.</w:t>
      </w:r>
      <w:r>
        <w:t xml:space="preserve"> Each home deployed sits inside a training set that already covers it well, and ships with a legally defensible conformance record. The technical-risk and documentary-risk economics of the 1,000th home match those of the 10th. This is the structural basis for the warranty-reserve-release argument in the commercial model: builders can actuarially rely on both the performance predictions across every climate-and-equipment combination AIVU has worked through and the per-home build-conformance records their inventory of AIVU-instrumented homes generates.</w:t>
      </w:r>
    </w:p>
    <w:p w14:paraId="2DBAC208" w14:textId="77777777" w:rsidR="00E44DE0" w:rsidRDefault="00E44DE0"/>
    <w:p w14:paraId="70B2731D" w14:textId="77777777" w:rsidR="00E44DE0" w:rsidRDefault="00E44DE0"/>
    <w:sectPr w:rsidR="00E44DE0" w:rsidSect="00F63EF2">
      <w:footerReference w:type="even" r:id="rId8"/>
      <w:footerReference w:type="default" r:id="rId9"/>
      <w:footerReference w:type="first" r:id="rId10"/>
      <w:pgSz w:w="12240" w:h="15840"/>
      <w:pgMar w:top="1152" w:right="1152" w:bottom="1152" w:left="1152" w:header="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CD7D0" w14:textId="77777777" w:rsidR="00D63531" w:rsidRDefault="00D63531">
      <w:pPr>
        <w:spacing w:after="0" w:line="240" w:lineRule="auto"/>
      </w:pPr>
      <w:r>
        <w:separator/>
      </w:r>
    </w:p>
  </w:endnote>
  <w:endnote w:type="continuationSeparator" w:id="0">
    <w:p w14:paraId="636CF2CA" w14:textId="77777777" w:rsidR="00D63531" w:rsidRDefault="00D63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C490" w14:textId="77777777" w:rsidR="00E44DE0" w:rsidRDefault="00000000">
    <w:pPr>
      <w:pStyle w:val="Footer"/>
      <w:ind w:right="360"/>
    </w:pPr>
    <w:r>
      <w:rPr>
        <w:noProof/>
      </w:rPr>
      <mc:AlternateContent>
        <mc:Choice Requires="wps">
          <w:drawing>
            <wp:anchor distT="0" distB="0" distL="0" distR="0" simplePos="0" relativeHeight="251658240" behindDoc="0" locked="0" layoutInCell="1" allowOverlap="1" wp14:anchorId="6FF42E47" wp14:editId="05A056B4">
              <wp:simplePos x="0" y="0"/>
              <wp:positionH relativeFrom="margin">
                <wp:align>right</wp:align>
              </wp:positionH>
              <wp:positionV relativeFrom="paragraph">
                <wp:posOffset>635</wp:posOffset>
              </wp:positionV>
              <wp:extent cx="14605" cy="14605"/>
              <wp:effectExtent l="0" t="0" r="0" b="0"/>
              <wp:wrapNone/>
              <wp:docPr id="1"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140029733"/>
                            <w:docPartObj>
                              <w:docPartGallery w:val="Page Numbers (Bottom of Page)"/>
                              <w:docPartUnique/>
                            </w:docPartObj>
                          </w:sdtPr>
                          <w:sdtContent>
                            <w:p w14:paraId="5445E190" w14:textId="77777777" w:rsidR="00E44DE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6FF42E47" id="_x0000_t202" coordsize="21600,21600" o:spt="202" path="m,l,21600r21600,l21600,xe">
              <v:stroke joinstyle="miter"/>
              <v:path gradientshapeok="t" o:connecttype="rect"/>
            </v:shapetype>
            <v:shape id="Frame1" o:spid="_x0000_s1026" type="#_x0000_t202" style="position:absolute;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1140029733"/>
                      <w:docPartObj>
                        <w:docPartGallery w:val="Page Numbers (Bottom of Page)"/>
                        <w:docPartUnique/>
                      </w:docPartObj>
                    </w:sdtPr>
                    <w:sdtContent>
                      <w:p w14:paraId="5445E190" w14:textId="77777777" w:rsidR="00E44DE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5344" w14:textId="77777777" w:rsidR="00E44DE0" w:rsidRDefault="00000000">
    <w:pPr>
      <w:pStyle w:val="Footer"/>
      <w:ind w:right="360"/>
    </w:pPr>
    <w:r>
      <w:rPr>
        <w:noProof/>
      </w:rPr>
      <mc:AlternateContent>
        <mc:Choice Requires="wps">
          <w:drawing>
            <wp:anchor distT="0" distB="0" distL="0" distR="0" simplePos="0" relativeHeight="45" behindDoc="0" locked="0" layoutInCell="0" allowOverlap="1" wp14:anchorId="732AE312" wp14:editId="4F5625C5">
              <wp:simplePos x="0" y="0"/>
              <wp:positionH relativeFrom="margin">
                <wp:align>right</wp:align>
              </wp:positionH>
              <wp:positionV relativeFrom="paragraph">
                <wp:posOffset>635</wp:posOffset>
              </wp:positionV>
              <wp:extent cx="194310" cy="177800"/>
              <wp:effectExtent l="0" t="0" r="0" b="0"/>
              <wp:wrapNone/>
              <wp:docPr id="2" name="Frame2"/>
              <wp:cNvGraphicFramePr/>
              <a:graphic xmlns:a="http://schemas.openxmlformats.org/drawingml/2006/main">
                <a:graphicData uri="http://schemas.microsoft.com/office/word/2010/wordprocessingShape">
                  <wps:wsp>
                    <wps:cNvSpPr txBox="1"/>
                    <wps:spPr>
                      <a:xfrm>
                        <a:off x="0" y="0"/>
                        <a:ext cx="194310" cy="177800"/>
                      </a:xfrm>
                      <a:prstGeom prst="rect">
                        <a:avLst/>
                      </a:prstGeom>
                      <a:solidFill>
                        <a:srgbClr val="FFFFFF">
                          <a:alpha val="0"/>
                        </a:srgbClr>
                      </a:solidFill>
                    </wps:spPr>
                    <wps:txbx>
                      <w:txbxContent>
                        <w:sdt>
                          <w:sdtPr>
                            <w:id w:val="893776366"/>
                            <w:docPartObj>
                              <w:docPartGallery w:val="Page Numbers (Bottom of Page)"/>
                              <w:docPartUnique/>
                            </w:docPartObj>
                          </w:sdtPr>
                          <w:sdtContent>
                            <w:p w14:paraId="36C047DD" w14:textId="77777777" w:rsidR="00E44DE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sdtContent>
                        </w:sdt>
                      </w:txbxContent>
                    </wps:txbx>
                    <wps:bodyPr lIns="0" tIns="0" rIns="0" bIns="0" anchor="t">
                      <a:spAutoFit/>
                    </wps:bodyPr>
                  </wps:wsp>
                </a:graphicData>
              </a:graphic>
            </wp:anchor>
          </w:drawing>
        </mc:Choice>
        <mc:Fallback>
          <w:pict>
            <v:shapetype w14:anchorId="732AE312" id="_x0000_t202" coordsize="21600,21600" o:spt="202" path="m,l,21600r21600,l21600,xe">
              <v:stroke joinstyle="miter"/>
              <v:path gradientshapeok="t" o:connecttype="rect"/>
            </v:shapetype>
            <v:shape id="Frame2" o:spid="_x0000_s1027" type="#_x0000_t202" style="position:absolute;margin-left:-35.9pt;margin-top:.05pt;width:15.3pt;height:14pt;z-index:45;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" o:allowincell="f" stroked="f">
              <v:fill opacity="0"/>
              <v:textbox style="mso-fit-shape-to-text:t" inset="0,0,0,0">
                <w:txbxContent>
                  <w:sdt>
                    <w:sdtPr>
                      <w:id w:val="893776366"/>
                      <w:docPartObj>
                        <w:docPartGallery w:val="Page Numbers (Bottom of Page)"/>
                        <w:docPartUnique/>
                      </w:docPartObj>
                    </w:sdtPr>
                    <w:sdtContent>
                      <w:p w14:paraId="36C047DD" w14:textId="77777777" w:rsidR="00E44DE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0CAF" w14:textId="77777777" w:rsidR="00E44DE0" w:rsidRDefault="00E44D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E7028" w14:textId="77777777" w:rsidR="00D63531" w:rsidRDefault="00D63531">
      <w:pPr>
        <w:rPr>
          <w:sz w:val="12"/>
        </w:rPr>
      </w:pPr>
      <w:r>
        <w:separator/>
      </w:r>
    </w:p>
  </w:footnote>
  <w:footnote w:type="continuationSeparator" w:id="0">
    <w:p w14:paraId="584F255F" w14:textId="77777777" w:rsidR="00D63531" w:rsidRDefault="00D63531">
      <w:pPr>
        <w:rPr>
          <w:sz w:val="12"/>
        </w:rPr>
      </w:pPr>
      <w:r>
        <w:continuationSeparator/>
      </w:r>
    </w:p>
  </w:footnote>
  <w:footnote w:id="1">
    <w:p w14:paraId="36F3D68D" w14:textId="77777777" w:rsidR="00E44DE0" w:rsidRDefault="00000000">
      <w:pPr>
        <w:pStyle w:val="FootnoteText"/>
      </w:pPr>
      <w:r>
        <w:rPr>
          <w:rStyle w:val="FootnoteCharacters"/>
        </w:rPr>
        <w:footnoteRef/>
      </w:r>
      <w:r>
        <w:t xml:space="preserve"> for a detailed explanation of this formula, see </w:t>
      </w:r>
      <w:r>
        <w:rPr>
          <w:b/>
          <w:bCs/>
        </w:rPr>
        <w:t>Endnote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80F"/>
    <w:multiLevelType w:val="multilevel"/>
    <w:tmpl w:val="3522E6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5C042DE"/>
    <w:multiLevelType w:val="multilevel"/>
    <w:tmpl w:val="1CF075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6B3367F"/>
    <w:multiLevelType w:val="multilevel"/>
    <w:tmpl w:val="CD7455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A2C703E"/>
    <w:multiLevelType w:val="multilevel"/>
    <w:tmpl w:val="72C221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B950290"/>
    <w:multiLevelType w:val="multilevel"/>
    <w:tmpl w:val="EBD874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C455DB0"/>
    <w:multiLevelType w:val="multilevel"/>
    <w:tmpl w:val="CBA034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CEE3DDD"/>
    <w:multiLevelType w:val="multilevel"/>
    <w:tmpl w:val="196EDE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0096ACB"/>
    <w:multiLevelType w:val="multilevel"/>
    <w:tmpl w:val="9E1894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71B2BC4"/>
    <w:multiLevelType w:val="multilevel"/>
    <w:tmpl w:val="89529F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AB122C1"/>
    <w:multiLevelType w:val="multilevel"/>
    <w:tmpl w:val="E22C55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AB5471A"/>
    <w:multiLevelType w:val="multilevel"/>
    <w:tmpl w:val="0A4ECB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B024718"/>
    <w:multiLevelType w:val="multilevel"/>
    <w:tmpl w:val="55A86C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E0D0278"/>
    <w:multiLevelType w:val="multilevel"/>
    <w:tmpl w:val="A3EAB6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25C50A1"/>
    <w:multiLevelType w:val="multilevel"/>
    <w:tmpl w:val="F9A85C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28EA642C"/>
    <w:multiLevelType w:val="multilevel"/>
    <w:tmpl w:val="8D66FE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9850945"/>
    <w:multiLevelType w:val="multilevel"/>
    <w:tmpl w:val="962802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A0F4C54"/>
    <w:multiLevelType w:val="multilevel"/>
    <w:tmpl w:val="E50A54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D747045"/>
    <w:multiLevelType w:val="multilevel"/>
    <w:tmpl w:val="B6485B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2EBD40C2"/>
    <w:multiLevelType w:val="multilevel"/>
    <w:tmpl w:val="2D9660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2F811C37"/>
    <w:multiLevelType w:val="multilevel"/>
    <w:tmpl w:val="5F72EE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59E199A"/>
    <w:multiLevelType w:val="multilevel"/>
    <w:tmpl w:val="C7BE5E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35FC49FF"/>
    <w:multiLevelType w:val="multilevel"/>
    <w:tmpl w:val="1E6EC7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D385DE1"/>
    <w:multiLevelType w:val="multilevel"/>
    <w:tmpl w:val="9D009F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3E544D8A"/>
    <w:multiLevelType w:val="multilevel"/>
    <w:tmpl w:val="EEE20F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3E8B0948"/>
    <w:multiLevelType w:val="multilevel"/>
    <w:tmpl w:val="65CE08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40391524"/>
    <w:multiLevelType w:val="multilevel"/>
    <w:tmpl w:val="74F8C9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4045492F"/>
    <w:multiLevelType w:val="multilevel"/>
    <w:tmpl w:val="CE448C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409002F9"/>
    <w:multiLevelType w:val="multilevel"/>
    <w:tmpl w:val="8EFCC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43C81B7D"/>
    <w:multiLevelType w:val="multilevel"/>
    <w:tmpl w:val="788AAA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4F82BCB"/>
    <w:multiLevelType w:val="multilevel"/>
    <w:tmpl w:val="965CBA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7C33531"/>
    <w:multiLevelType w:val="multilevel"/>
    <w:tmpl w:val="8A7679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4B6936DE"/>
    <w:multiLevelType w:val="multilevel"/>
    <w:tmpl w:val="36EA05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4E70564E"/>
    <w:multiLevelType w:val="multilevel"/>
    <w:tmpl w:val="59B83F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547306A6"/>
    <w:multiLevelType w:val="multilevel"/>
    <w:tmpl w:val="9D5ECF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578B3049"/>
    <w:multiLevelType w:val="multilevel"/>
    <w:tmpl w:val="46A6BC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5AF47CC4"/>
    <w:multiLevelType w:val="multilevel"/>
    <w:tmpl w:val="70F86B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5D317614"/>
    <w:multiLevelType w:val="multilevel"/>
    <w:tmpl w:val="613E1E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63AC0AF9"/>
    <w:multiLevelType w:val="multilevel"/>
    <w:tmpl w:val="5DAE76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64850970"/>
    <w:multiLevelType w:val="multilevel"/>
    <w:tmpl w:val="6E7E79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64CD4F42"/>
    <w:multiLevelType w:val="multilevel"/>
    <w:tmpl w:val="A62EC3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69D31304"/>
    <w:multiLevelType w:val="multilevel"/>
    <w:tmpl w:val="470298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6B377DED"/>
    <w:multiLevelType w:val="multilevel"/>
    <w:tmpl w:val="98AA26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6C6F1D25"/>
    <w:multiLevelType w:val="multilevel"/>
    <w:tmpl w:val="7428C7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6CFB1F28"/>
    <w:multiLevelType w:val="multilevel"/>
    <w:tmpl w:val="083C2C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6DCF69FA"/>
    <w:multiLevelType w:val="multilevel"/>
    <w:tmpl w:val="D7521B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6DD305C6"/>
    <w:multiLevelType w:val="multilevel"/>
    <w:tmpl w:val="5A827F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7000774D"/>
    <w:multiLevelType w:val="multilevel"/>
    <w:tmpl w:val="340877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703E5183"/>
    <w:multiLevelType w:val="multilevel"/>
    <w:tmpl w:val="B44EBE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74302734"/>
    <w:multiLevelType w:val="multilevel"/>
    <w:tmpl w:val="84E02E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74890A97"/>
    <w:multiLevelType w:val="multilevel"/>
    <w:tmpl w:val="D64E1F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748B44AD"/>
    <w:multiLevelType w:val="multilevel"/>
    <w:tmpl w:val="CFAA3C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79A879BC"/>
    <w:multiLevelType w:val="multilevel"/>
    <w:tmpl w:val="FB9080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7BF661D5"/>
    <w:multiLevelType w:val="multilevel"/>
    <w:tmpl w:val="ED6A80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7CB21B36"/>
    <w:multiLevelType w:val="multilevel"/>
    <w:tmpl w:val="34EEDF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7F69266C"/>
    <w:multiLevelType w:val="multilevel"/>
    <w:tmpl w:val="6B1EF9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80415536">
    <w:abstractNumId w:val="30"/>
  </w:num>
  <w:num w:numId="2" w16cid:durableId="1998342157">
    <w:abstractNumId w:val="46"/>
  </w:num>
  <w:num w:numId="3" w16cid:durableId="2093811065">
    <w:abstractNumId w:val="34"/>
  </w:num>
  <w:num w:numId="4" w16cid:durableId="1582177966">
    <w:abstractNumId w:val="19"/>
  </w:num>
  <w:num w:numId="5" w16cid:durableId="117071667">
    <w:abstractNumId w:val="42"/>
  </w:num>
  <w:num w:numId="6" w16cid:durableId="802115668">
    <w:abstractNumId w:val="39"/>
  </w:num>
  <w:num w:numId="7" w16cid:durableId="163669012">
    <w:abstractNumId w:val="38"/>
  </w:num>
  <w:num w:numId="8" w16cid:durableId="100495614">
    <w:abstractNumId w:val="12"/>
  </w:num>
  <w:num w:numId="9" w16cid:durableId="627589280">
    <w:abstractNumId w:val="13"/>
  </w:num>
  <w:num w:numId="10" w16cid:durableId="728915679">
    <w:abstractNumId w:val="50"/>
  </w:num>
  <w:num w:numId="11" w16cid:durableId="675039602">
    <w:abstractNumId w:val="0"/>
  </w:num>
  <w:num w:numId="12" w16cid:durableId="2056931910">
    <w:abstractNumId w:val="53"/>
  </w:num>
  <w:num w:numId="13" w16cid:durableId="496851445">
    <w:abstractNumId w:val="28"/>
  </w:num>
  <w:num w:numId="14" w16cid:durableId="1415736908">
    <w:abstractNumId w:val="41"/>
  </w:num>
  <w:num w:numId="15" w16cid:durableId="1293487726">
    <w:abstractNumId w:val="45"/>
  </w:num>
  <w:num w:numId="16" w16cid:durableId="291716403">
    <w:abstractNumId w:val="32"/>
  </w:num>
  <w:num w:numId="17" w16cid:durableId="904726997">
    <w:abstractNumId w:val="36"/>
  </w:num>
  <w:num w:numId="18" w16cid:durableId="2140684573">
    <w:abstractNumId w:val="8"/>
  </w:num>
  <w:num w:numId="19" w16cid:durableId="1898710487">
    <w:abstractNumId w:val="22"/>
  </w:num>
  <w:num w:numId="20" w16cid:durableId="316693555">
    <w:abstractNumId w:val="18"/>
  </w:num>
  <w:num w:numId="21" w16cid:durableId="986200750">
    <w:abstractNumId w:val="7"/>
  </w:num>
  <w:num w:numId="22" w16cid:durableId="1737976696">
    <w:abstractNumId w:val="27"/>
  </w:num>
  <w:num w:numId="23" w16cid:durableId="1365014379">
    <w:abstractNumId w:val="43"/>
  </w:num>
  <w:num w:numId="24" w16cid:durableId="1502770917">
    <w:abstractNumId w:val="4"/>
  </w:num>
  <w:num w:numId="25" w16cid:durableId="1007248330">
    <w:abstractNumId w:val="33"/>
  </w:num>
  <w:num w:numId="26" w16cid:durableId="207911226">
    <w:abstractNumId w:val="20"/>
  </w:num>
  <w:num w:numId="27" w16cid:durableId="789471946">
    <w:abstractNumId w:val="11"/>
  </w:num>
  <w:num w:numId="28" w16cid:durableId="2000691579">
    <w:abstractNumId w:val="5"/>
  </w:num>
  <w:num w:numId="29" w16cid:durableId="723676069">
    <w:abstractNumId w:val="6"/>
  </w:num>
  <w:num w:numId="30" w16cid:durableId="1142769985">
    <w:abstractNumId w:val="1"/>
  </w:num>
  <w:num w:numId="31" w16cid:durableId="1600138582">
    <w:abstractNumId w:val="23"/>
  </w:num>
  <w:num w:numId="32" w16cid:durableId="1125925237">
    <w:abstractNumId w:val="49"/>
  </w:num>
  <w:num w:numId="33" w16cid:durableId="1179808689">
    <w:abstractNumId w:val="29"/>
  </w:num>
  <w:num w:numId="34" w16cid:durableId="957643160">
    <w:abstractNumId w:val="14"/>
  </w:num>
  <w:num w:numId="35" w16cid:durableId="253978622">
    <w:abstractNumId w:val="21"/>
  </w:num>
  <w:num w:numId="36" w16cid:durableId="937757762">
    <w:abstractNumId w:val="54"/>
  </w:num>
  <w:num w:numId="37" w16cid:durableId="858086592">
    <w:abstractNumId w:val="40"/>
  </w:num>
  <w:num w:numId="38" w16cid:durableId="1082143114">
    <w:abstractNumId w:val="17"/>
  </w:num>
  <w:num w:numId="39" w16cid:durableId="1800800213">
    <w:abstractNumId w:val="47"/>
  </w:num>
  <w:num w:numId="40" w16cid:durableId="540094527">
    <w:abstractNumId w:val="31"/>
  </w:num>
  <w:num w:numId="41" w16cid:durableId="649287833">
    <w:abstractNumId w:val="25"/>
  </w:num>
  <w:num w:numId="42" w16cid:durableId="566309367">
    <w:abstractNumId w:val="3"/>
  </w:num>
  <w:num w:numId="43" w16cid:durableId="340935617">
    <w:abstractNumId w:val="37"/>
  </w:num>
  <w:num w:numId="44" w16cid:durableId="340277251">
    <w:abstractNumId w:val="44"/>
  </w:num>
  <w:num w:numId="45" w16cid:durableId="1906180902">
    <w:abstractNumId w:val="48"/>
  </w:num>
  <w:num w:numId="46" w16cid:durableId="1535656136">
    <w:abstractNumId w:val="24"/>
  </w:num>
  <w:num w:numId="47" w16cid:durableId="849753473">
    <w:abstractNumId w:val="51"/>
  </w:num>
  <w:num w:numId="48" w16cid:durableId="1212692050">
    <w:abstractNumId w:val="26"/>
  </w:num>
  <w:num w:numId="49" w16cid:durableId="1784298379">
    <w:abstractNumId w:val="52"/>
  </w:num>
  <w:num w:numId="50" w16cid:durableId="306519083">
    <w:abstractNumId w:val="2"/>
  </w:num>
  <w:num w:numId="51" w16cid:durableId="258953735">
    <w:abstractNumId w:val="35"/>
  </w:num>
  <w:num w:numId="52" w16cid:durableId="660430238">
    <w:abstractNumId w:val="15"/>
  </w:num>
  <w:num w:numId="53" w16cid:durableId="890269584">
    <w:abstractNumId w:val="16"/>
  </w:num>
  <w:num w:numId="54" w16cid:durableId="1439525886">
    <w:abstractNumId w:val="9"/>
  </w:num>
  <w:num w:numId="55" w16cid:durableId="1478763520">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E0"/>
    <w:rsid w:val="008B5F95"/>
    <w:rsid w:val="00D63531"/>
    <w:rsid w:val="00E44DE0"/>
    <w:rsid w:val="00F63EF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F223141"/>
  <w15:docId w15:val="{C2D973A6-49E7-234A-A4DC-F3090592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81"/>
    <w:pPr>
      <w:spacing w:after="160" w:line="276" w:lineRule="auto"/>
    </w:pPr>
  </w:style>
  <w:style w:type="paragraph" w:styleId="Heading1">
    <w:name w:val="heading 1"/>
    <w:basedOn w:val="Normal"/>
    <w:next w:val="Normal"/>
    <w:link w:val="Heading1Char"/>
    <w:uiPriority w:val="9"/>
    <w:qFormat/>
    <w:rsid w:val="00304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04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04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04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04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04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04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04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04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0428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0428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0428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04285"/>
    <w:rPr>
      <w:i/>
      <w:iCs/>
      <w:color w:val="404040" w:themeColor="text1" w:themeTint="BF"/>
    </w:rPr>
  </w:style>
  <w:style w:type="character" w:styleId="IntenseEmphasis">
    <w:name w:val="Intense Emphasis"/>
    <w:basedOn w:val="DefaultParagraphFont"/>
    <w:uiPriority w:val="21"/>
    <w:qFormat/>
    <w:rsid w:val="00304285"/>
    <w:rPr>
      <w:i/>
      <w:iCs/>
      <w:color w:val="0F4761" w:themeColor="accent1" w:themeShade="BF"/>
    </w:rPr>
  </w:style>
  <w:style w:type="character" w:customStyle="1" w:styleId="IntenseQuoteChar">
    <w:name w:val="Intense Quote Char"/>
    <w:basedOn w:val="DefaultParagraphFont"/>
    <w:link w:val="IntenseQuote"/>
    <w:uiPriority w:val="30"/>
    <w:qFormat/>
    <w:rsid w:val="00304285"/>
    <w:rPr>
      <w:i/>
      <w:iCs/>
      <w:color w:val="0F4761" w:themeColor="accent1" w:themeShade="BF"/>
    </w:rPr>
  </w:style>
  <w:style w:type="character" w:styleId="IntenseReference">
    <w:name w:val="Intense Reference"/>
    <w:basedOn w:val="DefaultParagraphFont"/>
    <w:uiPriority w:val="32"/>
    <w:qFormat/>
    <w:rsid w:val="00304285"/>
    <w:rPr>
      <w:b/>
      <w:bCs/>
      <w:smallCaps/>
      <w:color w:val="0F4761" w:themeColor="accent1" w:themeShade="BF"/>
      <w:spacing w:val="5"/>
    </w:rPr>
  </w:style>
  <w:style w:type="character" w:customStyle="1" w:styleId="FooterChar">
    <w:name w:val="Footer Char"/>
    <w:basedOn w:val="DefaultParagraphFont"/>
    <w:link w:val="Footer"/>
    <w:uiPriority w:val="99"/>
    <w:qFormat/>
    <w:rsid w:val="00573782"/>
  </w:style>
  <w:style w:type="character" w:styleId="PageNumber">
    <w:name w:val="page number"/>
    <w:basedOn w:val="DefaultParagraphFont"/>
    <w:uiPriority w:val="99"/>
    <w:semiHidden/>
    <w:unhideWhenUsed/>
    <w:rsid w:val="00573782"/>
  </w:style>
  <w:style w:type="character" w:customStyle="1" w:styleId="FootnoteTextChar">
    <w:name w:val="Footnote Text Char"/>
    <w:basedOn w:val="DefaultParagraphFont"/>
    <w:link w:val="FootnoteText"/>
    <w:uiPriority w:val="99"/>
    <w:semiHidden/>
    <w:qFormat/>
    <w:rsid w:val="001116CC"/>
    <w:rPr>
      <w:sz w:val="20"/>
      <w:szCs w:val="20"/>
    </w:rPr>
  </w:style>
  <w:style w:type="character" w:customStyle="1" w:styleId="FootnoteCharacters">
    <w:name w:val="Footnote Characters"/>
    <w:basedOn w:val="DefaultParagraphFont"/>
    <w:uiPriority w:val="99"/>
    <w:semiHidden/>
    <w:unhideWhenUsed/>
    <w:qFormat/>
    <w:rsid w:val="001116CC"/>
    <w:rPr>
      <w:vertAlign w:val="superscript"/>
    </w:rPr>
  </w:style>
  <w:style w:type="character" w:styleId="FootnoteReference">
    <w:name w:val="footnote reference"/>
    <w:rPr>
      <w:vertAlign w:val="superscript"/>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0428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04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285"/>
    <w:pPr>
      <w:spacing w:before="160"/>
      <w:jc w:val="center"/>
    </w:pPr>
    <w:rPr>
      <w:i/>
      <w:iCs/>
      <w:color w:val="404040" w:themeColor="text1" w:themeTint="BF"/>
    </w:rPr>
  </w:style>
  <w:style w:type="paragraph" w:styleId="ListParagraph">
    <w:name w:val="List Paragraph"/>
    <w:basedOn w:val="Normal"/>
    <w:uiPriority w:val="34"/>
    <w:qFormat/>
    <w:rsid w:val="00304285"/>
    <w:pPr>
      <w:ind w:left="720"/>
      <w:contextualSpacing/>
    </w:pPr>
  </w:style>
  <w:style w:type="paragraph" w:styleId="IntenseQuote">
    <w:name w:val="Intense Quote"/>
    <w:basedOn w:val="Normal"/>
    <w:next w:val="Normal"/>
    <w:link w:val="IntenseQuoteChar"/>
    <w:uiPriority w:val="30"/>
    <w:qFormat/>
    <w:rsid w:val="00304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Footer">
    <w:name w:val="footer"/>
    <w:basedOn w:val="Normal"/>
    <w:link w:val="FooterChar"/>
    <w:uiPriority w:val="99"/>
    <w:unhideWhenUsed/>
    <w:rsid w:val="00573782"/>
    <w:pPr>
      <w:tabs>
        <w:tab w:val="center" w:pos="4680"/>
        <w:tab w:val="right" w:pos="9360"/>
      </w:tabs>
      <w:spacing w:after="0" w:line="240" w:lineRule="auto"/>
    </w:pPr>
  </w:style>
  <w:style w:type="paragraph" w:styleId="FootnoteText">
    <w:name w:val="footnote text"/>
    <w:basedOn w:val="Normal"/>
    <w:link w:val="FootnoteTextChar"/>
    <w:uiPriority w:val="99"/>
    <w:semiHidden/>
    <w:unhideWhenUsed/>
    <w:rsid w:val="001116CC"/>
    <w:pPr>
      <w:spacing w:after="0" w:line="240" w:lineRule="auto"/>
    </w:pPr>
    <w:rPr>
      <w:sz w:val="20"/>
      <w:szCs w:val="20"/>
    </w:rPr>
  </w:style>
  <w:style w:type="paragraph" w:styleId="NormalWeb">
    <w:name w:val="Normal (Web)"/>
    <w:basedOn w:val="Normal"/>
    <w:uiPriority w:val="99"/>
    <w:semiHidden/>
    <w:unhideWhenUsed/>
    <w:qFormat/>
    <w:rsid w:val="00D05881"/>
    <w:pPr>
      <w:spacing w:beforeAutospacing="1" w:afterAutospacing="1" w:line="240" w:lineRule="auto"/>
    </w:pPr>
    <w:rPr>
      <w:rFonts w:ascii="Times New Roman" w:eastAsia="Times New Roman" w:hAnsi="Times New Roman" w:cs="Times New Roman"/>
      <w:kern w:val="0"/>
      <w14:ligatures w14:val="none"/>
    </w:rPr>
  </w:style>
  <w:style w:type="paragraph" w:customStyle="1" w:styleId="FrameContents">
    <w:name w:val="Frame Contents"/>
    <w:basedOn w:val="Normal"/>
    <w:qFormat/>
  </w:style>
  <w:style w:type="paragraph" w:styleId="TOCHeading">
    <w:name w:val="TOC Heading"/>
    <w:basedOn w:val="Heading1"/>
    <w:next w:val="Normal"/>
    <w:uiPriority w:val="39"/>
    <w:unhideWhenUsed/>
    <w:qFormat/>
    <w:rsid w:val="00F63EF2"/>
    <w:pPr>
      <w:suppressAutoHyphens w:val="0"/>
      <w:spacing w:before="480" w:after="0"/>
      <w:outlineLvl w:val="9"/>
    </w:pPr>
    <w:rPr>
      <w:b/>
      <w:bCs/>
      <w:kern w:val="0"/>
      <w:sz w:val="28"/>
      <w:szCs w:val="28"/>
    </w:rPr>
  </w:style>
  <w:style w:type="paragraph" w:styleId="TOC1">
    <w:name w:val="toc 1"/>
    <w:basedOn w:val="Normal"/>
    <w:next w:val="Normal"/>
    <w:autoRedefine/>
    <w:uiPriority w:val="39"/>
    <w:unhideWhenUsed/>
    <w:rsid w:val="00F63EF2"/>
    <w:pPr>
      <w:spacing w:before="120" w:after="0"/>
    </w:pPr>
    <w:rPr>
      <w:b/>
      <w:bCs/>
      <w:i/>
      <w:iCs/>
    </w:rPr>
  </w:style>
  <w:style w:type="paragraph" w:styleId="TOC2">
    <w:name w:val="toc 2"/>
    <w:basedOn w:val="Normal"/>
    <w:next w:val="Normal"/>
    <w:autoRedefine/>
    <w:uiPriority w:val="39"/>
    <w:unhideWhenUsed/>
    <w:rsid w:val="00F63EF2"/>
    <w:pPr>
      <w:spacing w:before="120" w:after="0"/>
      <w:ind w:left="240"/>
    </w:pPr>
    <w:rPr>
      <w:b/>
      <w:bCs/>
      <w:sz w:val="22"/>
      <w:szCs w:val="22"/>
    </w:rPr>
  </w:style>
  <w:style w:type="paragraph" w:styleId="TOC3">
    <w:name w:val="toc 3"/>
    <w:basedOn w:val="Normal"/>
    <w:next w:val="Normal"/>
    <w:autoRedefine/>
    <w:uiPriority w:val="39"/>
    <w:unhideWhenUsed/>
    <w:rsid w:val="00F63EF2"/>
    <w:pPr>
      <w:spacing w:after="0"/>
      <w:ind w:left="480"/>
    </w:pPr>
    <w:rPr>
      <w:sz w:val="20"/>
      <w:szCs w:val="20"/>
    </w:rPr>
  </w:style>
  <w:style w:type="paragraph" w:styleId="TOC4">
    <w:name w:val="toc 4"/>
    <w:basedOn w:val="Normal"/>
    <w:next w:val="Normal"/>
    <w:autoRedefine/>
    <w:uiPriority w:val="39"/>
    <w:unhideWhenUsed/>
    <w:rsid w:val="00F63EF2"/>
    <w:pPr>
      <w:spacing w:after="0"/>
      <w:ind w:left="720"/>
    </w:pPr>
    <w:rPr>
      <w:sz w:val="20"/>
      <w:szCs w:val="20"/>
    </w:rPr>
  </w:style>
  <w:style w:type="paragraph" w:styleId="TOC5">
    <w:name w:val="toc 5"/>
    <w:basedOn w:val="Normal"/>
    <w:next w:val="Normal"/>
    <w:autoRedefine/>
    <w:uiPriority w:val="39"/>
    <w:unhideWhenUsed/>
    <w:rsid w:val="00F63EF2"/>
    <w:pPr>
      <w:spacing w:after="0"/>
      <w:ind w:left="960"/>
    </w:pPr>
    <w:rPr>
      <w:sz w:val="20"/>
      <w:szCs w:val="20"/>
    </w:rPr>
  </w:style>
  <w:style w:type="paragraph" w:styleId="TOC6">
    <w:name w:val="toc 6"/>
    <w:basedOn w:val="Normal"/>
    <w:next w:val="Normal"/>
    <w:autoRedefine/>
    <w:uiPriority w:val="39"/>
    <w:unhideWhenUsed/>
    <w:rsid w:val="00F63EF2"/>
    <w:pPr>
      <w:spacing w:after="0"/>
      <w:ind w:left="1200"/>
    </w:pPr>
    <w:rPr>
      <w:sz w:val="20"/>
      <w:szCs w:val="20"/>
    </w:rPr>
  </w:style>
  <w:style w:type="paragraph" w:styleId="TOC7">
    <w:name w:val="toc 7"/>
    <w:basedOn w:val="Normal"/>
    <w:next w:val="Normal"/>
    <w:autoRedefine/>
    <w:uiPriority w:val="39"/>
    <w:unhideWhenUsed/>
    <w:rsid w:val="00F63EF2"/>
    <w:pPr>
      <w:spacing w:after="0"/>
      <w:ind w:left="1440"/>
    </w:pPr>
    <w:rPr>
      <w:sz w:val="20"/>
      <w:szCs w:val="20"/>
    </w:rPr>
  </w:style>
  <w:style w:type="paragraph" w:styleId="TOC8">
    <w:name w:val="toc 8"/>
    <w:basedOn w:val="Normal"/>
    <w:next w:val="Normal"/>
    <w:autoRedefine/>
    <w:uiPriority w:val="39"/>
    <w:unhideWhenUsed/>
    <w:rsid w:val="00F63EF2"/>
    <w:pPr>
      <w:spacing w:after="0"/>
      <w:ind w:left="1680"/>
    </w:pPr>
    <w:rPr>
      <w:sz w:val="20"/>
      <w:szCs w:val="20"/>
    </w:rPr>
  </w:style>
  <w:style w:type="paragraph" w:styleId="TOC9">
    <w:name w:val="toc 9"/>
    <w:basedOn w:val="Normal"/>
    <w:next w:val="Normal"/>
    <w:autoRedefine/>
    <w:uiPriority w:val="39"/>
    <w:unhideWhenUsed/>
    <w:rsid w:val="00F63EF2"/>
    <w:pPr>
      <w:spacing w:after="0"/>
      <w:ind w:left="1920"/>
    </w:pPr>
    <w:rPr>
      <w:sz w:val="20"/>
      <w:szCs w:val="20"/>
    </w:rPr>
  </w:style>
  <w:style w:type="character" w:styleId="Hyperlink">
    <w:name w:val="Hyperlink"/>
    <w:basedOn w:val="DefaultParagraphFont"/>
    <w:uiPriority w:val="99"/>
    <w:unhideWhenUsed/>
    <w:rsid w:val="00F63EF2"/>
    <w:rPr>
      <w:color w:val="467886" w:themeColor="hyperlink"/>
      <w:u w:val="single"/>
    </w:rPr>
  </w:style>
  <w:style w:type="character" w:styleId="UnresolvedMention">
    <w:name w:val="Unresolved Mention"/>
    <w:basedOn w:val="DefaultParagraphFont"/>
    <w:uiPriority w:val="99"/>
    <w:semiHidden/>
    <w:unhideWhenUsed/>
    <w:rsid w:val="00F63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BE8A3-2C42-1946-BA6C-2297A27B3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16840</Words>
  <Characters>95988</Characters>
  <Application>Microsoft Office Word</Application>
  <DocSecurity>0</DocSecurity>
  <Lines>799</Lines>
  <Paragraphs>225</Paragraphs>
  <ScaleCrop>false</ScaleCrop>
  <Company/>
  <LinksUpToDate>false</LinksUpToDate>
  <CharactersWithSpaces>112603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Jan-Dieter Spalink</dc:creator>
  <dc:description/>
  <cp:lastModifiedBy>Jan-Dieter Spalink</cp:lastModifiedBy>
  <cp:revision>2</cp:revision>
  <dcterms:created xsi:type="dcterms:W3CDTF">2026-05-10T13:51:00Z</dcterms:created>
  <dcterms:modified xsi:type="dcterms:W3CDTF">2026-05-10T13:51:00Z</dcterms:modified>
  <dc:language>en-US</dc:language>
</cp:coreProperties>
</file>