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A9A41B" w14:textId="77777777" w:rsidR="00652F3F" w:rsidRDefault="00000000">
      <w:pPr>
        <w:pStyle w:val="Heading1"/>
      </w:pPr>
      <w:bookmarkStart w:id="0" w:name="X05c3889538aea86f2aa5d13f6558296448089c4"/>
      <w:r>
        <w:t>An Operating System for Residential Asset Classes</w:t>
      </w:r>
    </w:p>
    <w:p w14:paraId="3909894F" w14:textId="77777777" w:rsidR="00652F3F" w:rsidRDefault="00000000">
      <w:pPr>
        <w:pStyle w:val="FirstParagraph"/>
      </w:pPr>
      <w:r>
        <w:rPr>
          <w:b/>
          <w:bCs/>
        </w:rPr>
        <w:t>v9.5 (Draft)</w:t>
      </w:r>
      <w:r>
        <w:t xml:space="preserve"> </w:t>
      </w:r>
      <w:r>
        <w:rPr>
          <w:b/>
          <w:bCs/>
        </w:rPr>
        <w:t>Jan-Dieter Spalink</w:t>
      </w:r>
      <w:r>
        <w:t xml:space="preserve"> </w:t>
      </w:r>
      <w:r>
        <w:rPr>
          <w:b/>
          <w:bCs/>
        </w:rPr>
        <w:t>[date]</w:t>
      </w:r>
    </w:p>
    <w:p w14:paraId="3DE56BF3" w14:textId="77777777" w:rsidR="00652F3F" w:rsidRDefault="00B50831">
      <w:r>
        <w:rPr>
          <w:noProof/>
        </w:rPr>
        <w:pict w14:anchorId="3E0F35F0">
          <v:rect id="_x0000_i1025" alt="" style="width:468pt;height:.05pt;mso-width-percent:0;mso-height-percent:0;mso-width-percent:0;mso-height-percent:0" o:hralign="center" o:hrstd="t" o:hr="t"/>
        </w:pict>
      </w:r>
    </w:p>
    <w:p w14:paraId="256B115C" w14:textId="77777777" w:rsidR="00652F3F" w:rsidRDefault="00000000">
      <w:pPr>
        <w:pStyle w:val="Heading2"/>
      </w:pPr>
      <w:bookmarkStart w:id="1" w:name="the-current-global-dilemma"/>
      <w:r>
        <w:t>The Current Global Dilemma</w:t>
      </w:r>
    </w:p>
    <w:p w14:paraId="1785C639" w14:textId="77777777" w:rsidR="00652F3F" w:rsidRDefault="00000000">
      <w:pPr>
        <w:pStyle w:val="FirstParagraph"/>
      </w:pPr>
      <w:r>
        <w:t>The U.S. residential real estate market is a forty-seven-trillion-dollar asset class that operates in a state of systemic blindness. While financial markets price risk against verified performance data through the Bloomberg Terminal, the housing market has no comparable record of truth. Its transactions are priced on visible proxies — location, elevation, finishes — because the metrics that actually determine the asset’s long-term value (thermal performance, indoor air quality, operational economics) cannot be verified today at any reasonable cost and accuracy.</w:t>
      </w:r>
    </w:p>
    <w:p w14:paraId="02123D58" w14:textId="77777777" w:rsidR="00652F3F" w:rsidRDefault="00000000">
      <w:pPr>
        <w:pStyle w:val="BodyText"/>
      </w:pPr>
      <w:r>
        <w:t>This information asymmetry forces a regulatory stasis in which the industry continues to rely on theoretical simulations like DOE-2 and EnergyPlus, which routinely deviate from real-life performance by more than twenty percent. Every commercial participant — Builder, Lender, Insurer, Buyer — operates on a foundation of blind faith. Builders guess that subcontractors performed their work correctly. Lenders assume that borrowers can afford unspecified operating expenses. Insurers hope that nothing will fail.</w:t>
      </w:r>
    </w:p>
    <w:p w14:paraId="10C81B22" w14:textId="77777777" w:rsidR="00652F3F" w:rsidRDefault="00000000">
      <w:pPr>
        <w:pStyle w:val="BodyText"/>
      </w:pPr>
      <w:r>
        <w:t>This lack of transparency forces stakeholders to assemble massive financial buffers against unknown risks. They hoard warranty reserves, deny loan applications deemed to be marginal, and charge inflated premiums. The result is staggering inefficiency, costing the industry roughly thirty thousand dollars per home in pure waste — a “Trust Tax” paid by every party in the transaction.</w:t>
      </w:r>
    </w:p>
    <w:p w14:paraId="67C5A9BD" w14:textId="77777777" w:rsidR="00652F3F" w:rsidRDefault="00000000">
      <w:pPr>
        <w:pStyle w:val="BodyText"/>
      </w:pPr>
      <w:r>
        <w:t>AIVU addresses this information asymmetry by operating as a neutral, third-party clearinghouse. To ensure institutional credibility, AIVU’s adjudication methodology — the process by which raw sensor data is refined into certified performance records — will be validated by an independent audit firm. The physics speaks for itself; the methodology that interprets it must be transparent and verifiable.</w:t>
      </w:r>
    </w:p>
    <w:p w14:paraId="250DA5F5" w14:textId="77777777" w:rsidR="00652F3F" w:rsidRDefault="00000000">
      <w:pPr>
        <w:pStyle w:val="Heading2"/>
      </w:pPr>
      <w:bookmarkStart w:id="2" w:name="curing-the-blindness"/>
      <w:bookmarkEnd w:id="1"/>
      <w:r>
        <w:t>Curing The Blindness</w:t>
      </w:r>
    </w:p>
    <w:p w14:paraId="17A469DE" w14:textId="77777777" w:rsidR="00652F3F" w:rsidRDefault="00000000">
      <w:pPr>
        <w:pStyle w:val="FirstParagraph"/>
      </w:pPr>
      <w:r>
        <w:t>AIVU eliminates these systemic deficiencies by generating financial-grade records of truth for the physical asset itself. Similar to the way credit reporting agencies provide verified performance records in finance, AIVU operates a neutral, third-party clearinghouse for homes in the physical world.</w:t>
      </w:r>
    </w:p>
    <w:p w14:paraId="197E3687" w14:textId="77777777" w:rsidR="00652F3F" w:rsidRDefault="00000000">
      <w:pPr>
        <w:pStyle w:val="BodyText"/>
      </w:pPr>
      <w:r>
        <w:t xml:space="preserve">We are deploying the “Full Self-Driving” operating system for the home. But unlike consumer IoT start-ups that expire waiting for homeowners to purchase expensive hardware, our Physical AI is funded entirely by the builder. By solving the builder’s quarterly margin problem, we install our sensors at zero cost to the consumer. Once the </w:t>
      </w:r>
      <w:r>
        <w:lastRenderedPageBreak/>
        <w:t>buyer moves in, we offer them a “Self-Driving Home” — indoor health and consumption, plus proactive maintenance — in exchange for an exclusive source data license for AIVU. We use B2B margin recovery to fund a B2C data position.</w:t>
      </w:r>
    </w:p>
    <w:p w14:paraId="19FE9A75" w14:textId="77777777" w:rsidR="00652F3F" w:rsidRDefault="00000000">
      <w:pPr>
        <w:pStyle w:val="BodyText"/>
      </w:pPr>
      <w:r>
        <w:t>By replacing blind faith with continuous, physics-anchored measurement, we unlock the capital currently trapped by uncertainty across three critical phases in a home’s life cycle.</w:t>
      </w:r>
    </w:p>
    <w:p w14:paraId="577843EF" w14:textId="77777777" w:rsidR="00652F3F" w:rsidRDefault="00000000">
      <w:pPr>
        <w:pStyle w:val="BodyText"/>
      </w:pPr>
      <w:r>
        <w:rPr>
          <w:b/>
          <w:bCs/>
        </w:rPr>
        <w:t>Construction.</w:t>
      </w:r>
      <w:r>
        <w:t xml:space="preserve"> Builders set aside up to 1.5% of revenue in warranty reserves to cover defects they cannot see. AIVU’s continuous commissioning eliminates the most expensive category of post-occupancy callbacks by identifying installation defects before closing. As verified performance data accumulates across cohorts, builders gain the actuarial basis to right-size warranty accruals, progressively unlocking more trapped capital.</w:t>
      </w:r>
    </w:p>
    <w:p w14:paraId="3BD301F7" w14:textId="77777777" w:rsidR="00652F3F" w:rsidRDefault="00000000">
      <w:pPr>
        <w:pStyle w:val="BodyText"/>
      </w:pPr>
      <w:r>
        <w:rPr>
          <w:b/>
          <w:bCs/>
        </w:rPr>
        <w:t>Marketing and Sales.</w:t>
      </w:r>
      <w:r>
        <w:t xml:space="preserve"> Builders currently use a “shotgun” approach, spending up to $20,000 per home on interest rate buydowns to capture buyers of unknown provenance. AIVU enables “rifle shots” instead — detailed market intelligence lets builders offer homes with narrowly targeted features (a healthier indoor environment for families with young children, for example) selectively to buyers who are looking for exactly that. Incentive spending drops by nearly 75%.</w:t>
      </w:r>
    </w:p>
    <w:p w14:paraId="28FF27EA" w14:textId="77777777" w:rsidR="00652F3F" w:rsidRDefault="00000000">
      <w:pPr>
        <w:pStyle w:val="BodyText"/>
      </w:pPr>
      <w:r>
        <w:rPr>
          <w:b/>
          <w:bCs/>
        </w:rPr>
        <w:t>Finance.</w:t>
      </w:r>
      <w:r>
        <w:t xml:space="preserve"> Lenders reject 15% of applicants on rigid Debt-to-Income criteria. AIVU facilitates cash-flow underwriting, proving with hard data that a home’s lower total cost of ownership effectively increases borrower income, converting denied applications into viable sales.</w:t>
      </w:r>
    </w:p>
    <w:p w14:paraId="5FAB04E9" w14:textId="77777777" w:rsidR="00652F3F" w:rsidRDefault="00000000">
      <w:pPr>
        <w:pStyle w:val="BodyText"/>
      </w:pPr>
      <w:r>
        <w:t>The deployment economics are structurally unusual. Consumer IoT companies burn enormous capital trying to convince homeowners to buy hardware. AIVU bypasses this customer acquisition cost entirely. The hardware costs roughly $1,500–$2,000 per home, but it pays for itself on Day 1 through verified thermal-load data that lets the builder safely downsize HVAC for an immediate $400–$600 CapEx dividend, plus the continuous commissioning data that reduces warranty exposure. AIVU acquires the physical node — and the exclusive source data license, wholesale — at zero cost to the homeowner.</w:t>
      </w:r>
    </w:p>
    <w:p w14:paraId="3EE854BB" w14:textId="77777777" w:rsidR="00652F3F" w:rsidRDefault="00000000">
      <w:pPr>
        <w:pStyle w:val="Heading2"/>
      </w:pPr>
      <w:bookmarkStart w:id="3" w:name="the-industrial-feedback-loop"/>
      <w:bookmarkEnd w:id="2"/>
      <w:r>
        <w:t>The Industrial Feedback Loop</w:t>
      </w:r>
    </w:p>
    <w:p w14:paraId="72076DF6" w14:textId="77777777" w:rsidR="00652F3F" w:rsidRDefault="00000000">
      <w:pPr>
        <w:pStyle w:val="FirstParagraph"/>
      </w:pPr>
      <w:r>
        <w:t>The opportunity to unlock trapped capital extends well beyond the immediate construction and sale of a home, into the supply chains of the entire industry. Original Equipment Manufacturers (OEMs) gain access to clearinghouse data that lets them benchmark their products against market averages — combined with anonymized buyer demographics — in near real time. Because AIVU organizes homes into cohorts (groups of highly similar structures within narrowly defined market segments), the benchmarking is statistically robust where existing measurements are anecdotal, at best.</w:t>
      </w:r>
    </w:p>
    <w:p w14:paraId="22126304" w14:textId="77777777" w:rsidR="00652F3F" w:rsidRDefault="00000000">
      <w:pPr>
        <w:pStyle w:val="BodyText"/>
      </w:pPr>
      <w:r>
        <w:t xml:space="preserve">A traditional smart home platform scales its value linearly: one connected smart thermostat provides one isolated data stream. AIVU breaks this linear constraint by leveraging Metcalfe’s Law through a Hierarchical Bayesian Learning Network. When AIVU is deployed into a cohort of identical physical structures (e.g., 100 Hovnanian 8650 floorplans in Phoenix), the intelligence acquisition becomes non-linear: the system effectively achieves </w:t>
      </w:r>
      <w:r>
        <w:rPr>
          <w:i/>
          <w:iCs/>
        </w:rPr>
        <w:t>Time Dilation</w:t>
      </w:r>
      <w:r>
        <w:t>.</w:t>
      </w:r>
    </w:p>
    <w:p w14:paraId="366D5277" w14:textId="77777777" w:rsidR="00652F3F" w:rsidRDefault="00000000">
      <w:pPr>
        <w:pStyle w:val="BodyText"/>
      </w:pPr>
      <w:r>
        <w:lastRenderedPageBreak/>
        <w:t>One chronological day of extreme summer weather does not yield one day of learning; it yields 100 days of localized, edge-case thermodynamic data. If House A experiences a capacity drop due to a dust-loaded condenser coil, its local Home Performance Manager (HPM) mathematically isolates that failure signature using revenue-grade Eaton and Venturi telemetry. This signature is instantly aggregated by the Big Digital Twin (the cloud-level learning engine), which updates the PINN — the physics-informed plant model — for the entire cohort. Updated controller parameters are then distilled from the refined PINN, signed by the Clearinghouse, and deployed to Houses B through Z. A problem solved in one physical asset instantly optimizes the operational baseline for the entire asset class.</w:t>
      </w:r>
    </w:p>
    <w:p w14:paraId="1B017A0C" w14:textId="77777777" w:rsidR="00652F3F" w:rsidRDefault="00000000">
      <w:pPr>
        <w:pStyle w:val="BodyText"/>
      </w:pPr>
      <w:r>
        <w:t>This same mechanism enables predictive recall. A specific production run of faulty compressors or a bad batch of insulation or drywall can be identified within days of installation by analyzing data not just within one cohort, but across many. OEMs transition from theoretical simulations to empirical reality.</w:t>
      </w:r>
    </w:p>
    <w:p w14:paraId="22B3D788" w14:textId="77777777" w:rsidR="00652F3F" w:rsidRDefault="00000000">
      <w:pPr>
        <w:pStyle w:val="Heading2"/>
      </w:pPr>
      <w:bookmarkStart w:id="4" w:name="implementation"/>
      <w:bookmarkEnd w:id="3"/>
      <w:r>
        <w:t>Implementation</w:t>
      </w:r>
    </w:p>
    <w:p w14:paraId="68604695" w14:textId="77777777" w:rsidR="00652F3F" w:rsidRDefault="00000000">
      <w:pPr>
        <w:pStyle w:val="FirstParagraph"/>
      </w:pPr>
      <w:r>
        <w:t>To fuel the clearinghouse, AIVU deploys a hard-tech infrastructure that captures the physical reality of homes around the clock. Three components, in order:</w:t>
      </w:r>
    </w:p>
    <w:p w14:paraId="5080BB96" w14:textId="77777777" w:rsidR="00652F3F" w:rsidRDefault="00000000">
      <w:pPr>
        <w:pStyle w:val="BodyText"/>
      </w:pPr>
      <w:r>
        <w:t xml:space="preserve">The </w:t>
      </w:r>
      <w:r>
        <w:rPr>
          <w:b/>
          <w:bCs/>
        </w:rPr>
        <w:t>Home Performance Manager (HPM)</w:t>
      </w:r>
      <w:r>
        <w:t xml:space="preserve"> is the edge component installed in each home. It is an industrial ARM Cortex–based controller that ingests sensor telemetry continuously — supply airflow via proprietary Venturi devices, return air conditions, electrical consumption from Eaton smart breakers, outdoor weather. Its job is to characterize the home’s actual performance against a reference baseline and to report shortfalls to the homeowner. The HPM observes the home; it supervises only those systems the homeowner has explicitly delegated to it (solar inverter scheduling, EV charger management, battery storage, comfort objectives).</w:t>
      </w:r>
    </w:p>
    <w:p w14:paraId="75A95430" w14:textId="77777777" w:rsidR="00652F3F" w:rsidRDefault="00000000">
      <w:pPr>
        <w:pStyle w:val="BodyText"/>
      </w:pPr>
      <w:r>
        <w:t xml:space="preserve">The </w:t>
      </w:r>
      <w:r>
        <w:rPr>
          <w:b/>
          <w:bCs/>
        </w:rPr>
        <w:t>Physics-Informed Neural Network (PINN)</w:t>
      </w:r>
      <w:r>
        <w:t xml:space="preserve"> is AIVU’s learned model of how homes actually behave. Critically, the PINN is </w:t>
      </w:r>
      <w:r>
        <w:rPr>
          <w:i/>
          <w:iCs/>
        </w:rPr>
        <w:t>pre-trained</w:t>
      </w:r>
      <w:r>
        <w:t xml:space="preserve"> before any specific home is instrumented — trained on a synthetic dataset generated from AIVU’s validated envelope and HVAC physics, covering every climate zone, envelope construction, equipment configuration, and weather variant the system will encounter. The PINN does not learn from scratch on each home. It arrives already educated across the deployable parametric space.</w:t>
      </w:r>
    </w:p>
    <w:p w14:paraId="7C0FA873" w14:textId="77777777" w:rsidR="00652F3F" w:rsidRDefault="00000000">
      <w:pPr>
        <w:pStyle w:val="BodyText"/>
      </w:pPr>
      <w:r>
        <w:t xml:space="preserve">The </w:t>
      </w:r>
      <w:r>
        <w:rPr>
          <w:b/>
          <w:bCs/>
        </w:rPr>
        <w:t>Big Digital Twin (BDT)</w:t>
      </w:r>
      <w:r>
        <w:t xml:space="preserve"> is the cloud-side intelligence that hosts the PINN, refines it as field data accumulates across cohorts, and distills compact controller parameters that are signed by the Clearinghouse and pushed down to the HPMs.</w:t>
      </w:r>
    </w:p>
    <w:p w14:paraId="7FBE3D15" w14:textId="77777777" w:rsidR="00652F3F" w:rsidRDefault="00000000">
      <w:pPr>
        <w:pStyle w:val="BodyText"/>
      </w:pPr>
      <w:r>
        <w:t xml:space="preserve">When AIVU is deployed to a new home, the pre-trained PINN ingests the home’s 3D architectural model and local weather to produce a site-specific baseline prediction. This becomes the reference against which the </w:t>
      </w:r>
      <w:r>
        <w:rPr>
          <w:b/>
          <w:bCs/>
        </w:rPr>
        <w:t>5-Day Pre-Occupancy commissioning</w:t>
      </w:r>
      <w:r>
        <w:t xml:space="preserve"> measures the as-built home. During those five days — between hardware installation and homeowner move-in — the HPM calibrates the HVAC for use as a measurement instrument, then uses it to characterize the building envelope. Because the home is unoccupied, there are no occupant-driven heat loads or pressure events to confound the measurement; the envelope’s response to controlled HVAC operation is observed in clean </w:t>
      </w:r>
      <w:r>
        <w:lastRenderedPageBreak/>
        <w:t>conditions. The output is a signed Digital Birth Certificate documenting the home’s verified performance against specification — the first measurement-based commissioning of a production-built home in the industry.</w:t>
      </w:r>
    </w:p>
    <w:p w14:paraId="403A51D4" w14:textId="77777777" w:rsidR="00652F3F" w:rsidRDefault="00000000">
      <w:pPr>
        <w:pStyle w:val="BodyText"/>
      </w:pPr>
      <w:r>
        <w:t>Once occupied, the HPM continues to use the calibrated HVAC as the measurement instrument, now under real operating conditions. Depressurization events from range hoods or clothes dryers, for example, are detected and corrected by triggering an Energy Recovery Ventilator that supplies filtered, conditioned make-up air — preventing the infiltration of unconditioned outside air.</w:t>
      </w:r>
    </w:p>
    <w:p w14:paraId="18620DF5" w14:textId="77777777" w:rsidR="00652F3F" w:rsidRDefault="00000000">
      <w:pPr>
        <w:pStyle w:val="Heading2"/>
      </w:pPr>
      <w:bookmarkStart w:id="5" w:name="the-moat"/>
      <w:bookmarkEnd w:id="4"/>
      <w:r>
        <w:t>The Moat</w:t>
      </w:r>
    </w:p>
    <w:p w14:paraId="04BE1E9D" w14:textId="77777777" w:rsidR="00652F3F" w:rsidRDefault="00000000">
      <w:pPr>
        <w:pStyle w:val="FirstParagraph"/>
      </w:pPr>
      <w:r>
        <w:t>Our competitive advantage rests on three layers.</w:t>
      </w:r>
    </w:p>
    <w:p w14:paraId="0CA91FC4" w14:textId="77777777" w:rsidR="00652F3F" w:rsidRDefault="00000000">
      <w:pPr>
        <w:pStyle w:val="BodyText"/>
      </w:pPr>
      <w:r>
        <w:rPr>
          <w:b/>
          <w:bCs/>
        </w:rPr>
        <w:t>The Physics Moat.</w:t>
      </w:r>
      <w:r>
        <w:t xml:space="preserve"> Today’s industry designs and sizes building envelopes and HVAC systems using interdependent simulations and prescriptive models. The result is a “compound fracture”: the envelope is specified assuming the HVAC will perform exactly as nameplated, while the HVAC is sized assuming the envelope will perform exactly as specified. Neither assumption survives contact with the as-built home. AIVU’s deliberately separated dual-track physics characterizes envelope and HVAC independently, refusing to let either side hide behind the other’s assumptions. This is a structural property of how AIVU was built; it cannot be retrofitted onto an existing field-trained competitor.</w:t>
      </w:r>
    </w:p>
    <w:p w14:paraId="4F34548E" w14:textId="77777777" w:rsidR="00652F3F" w:rsidRDefault="00000000">
      <w:pPr>
        <w:pStyle w:val="BodyText"/>
      </w:pPr>
      <w:r>
        <w:rPr>
          <w:b/>
          <w:bCs/>
        </w:rPr>
        <w:t>The Data Moat.</w:t>
      </w:r>
      <w:r>
        <w:t xml:space="preserve"> The PINN’s initial generalization is built from validated physics, not accumulated by being deployed over time. A field-trained competitor must observe its first home for months before its model can make any generalized predictions — and the model will be weakest in exactly those unusual combinations where builder liability is highest. AIVU’s PINN arrives at home #1 already trained across the parametric space, including the edge cases. As cohorts mature (90 active homes per hyper-local cohort triggers actuarial-grade statistical confidence), the empirical refinement compounds on top of the physics-grounded baseline. The Data Moat has two layers: the generalization built before any home is deployed, and the continuous refinement that compounds across the cohort network.</w:t>
      </w:r>
    </w:p>
    <w:p w14:paraId="259CA7D3" w14:textId="77777777" w:rsidR="00652F3F" w:rsidRDefault="00000000">
      <w:pPr>
        <w:pStyle w:val="BodyText"/>
      </w:pPr>
      <w:r>
        <w:rPr>
          <w:b/>
          <w:bCs/>
        </w:rPr>
        <w:t>The Procedural Moat.</w:t>
      </w:r>
      <w:r>
        <w:t xml:space="preserve"> Unlike passive consumer technology that records a failure after the fact, AIVU’s HPM continuously characterizes the physical reality of each home and reports performance shortfalls to the homeowner before they become losses. Within the bounded scope of homeowner-delegated systems, the HPM acts on the reports — adjusting solar dispatch, EV charging, battery storage, and homeowner-set comfort guard rails to optimize overall economics. This combination of continuous observation and bounded supervisory authority transforms the system from a reporting device into operational infrastructure.</w:t>
      </w:r>
    </w:p>
    <w:p w14:paraId="05DF1423" w14:textId="77777777" w:rsidR="00652F3F" w:rsidRDefault="00000000">
      <w:pPr>
        <w:pStyle w:val="BodyText"/>
      </w:pPr>
      <w:r>
        <w:t xml:space="preserve">A note on existing rating frameworks. AIVU is sometimes asked how it relates to HERS. HERS-style inspections produce a number and a certificate; they do not measure whether the home will perform to specification, because nobody in that apparatus has the instrumentation, the physics, or the commercial incentive to measure it. AIVU does not improve HERS — there is nothing to improve. AIVU replaces pro-forma inspection with continuous, physics-anchored measurement. Over time, the relationship will be one of </w:t>
      </w:r>
      <w:r>
        <w:lastRenderedPageBreak/>
        <w:t>structural displacement, not partnership. At best, HERS becomes a customer of the AIVU clearinghouse.</w:t>
      </w:r>
    </w:p>
    <w:p w14:paraId="5A1424F5" w14:textId="77777777" w:rsidR="00652F3F" w:rsidRDefault="00000000">
      <w:pPr>
        <w:pStyle w:val="Heading2"/>
      </w:pPr>
      <w:bookmarkStart w:id="6" w:name="X22fbb67c171687a1a1eb4e494f107523ee66549"/>
      <w:bookmarkEnd w:id="5"/>
      <w:r>
        <w:t>The Financial Engine: Asymmetric Economics</w:t>
      </w:r>
    </w:p>
    <w:p w14:paraId="51DAA538" w14:textId="77777777" w:rsidR="00652F3F" w:rsidRDefault="00000000">
      <w:pPr>
        <w:pStyle w:val="FirstParagraph"/>
      </w:pPr>
      <w:r>
        <w:t xml:space="preserve">The economic power of AIVU rests on a structural asymmetry: </w:t>
      </w:r>
      <w:r>
        <w:rPr>
          <w:b/>
          <w:bCs/>
        </w:rPr>
        <w:t>the cost of acquiring data from each home is essentially fixed, while the value of that data compounds across cohorts, across customers, and across product lines.</w:t>
      </w:r>
      <w:r>
        <w:t xml:space="preserve"> This asymmetry is not a target to be achieved at scale — it is a property of the architecture, beginning with the very first home.</w:t>
      </w:r>
    </w:p>
    <w:p w14:paraId="4C01237E" w14:textId="77777777" w:rsidR="00652F3F" w:rsidRDefault="00000000">
      <w:pPr>
        <w:pStyle w:val="BodyText"/>
      </w:pPr>
      <w:r>
        <w:rPr>
          <w:b/>
          <w:bCs/>
        </w:rPr>
        <w:t>Per-unit economics.</w:t>
      </w:r>
      <w:r>
        <w:t xml:space="preserve"> AIVU captures a 10–15% minority share of the $30,000 in surplus value created per asset. At closing, transactional revenue is roughly $4,100 per node, drawn from CapEx licensing, wholesale disintermediation success fees, and secondary market reliability premiums. During occupancy, each node generates $390–$550 in annual recurring revenue from B2C VIP subscriptions, utility Negawatt bidding, and institutional resilience scoring. At resale, an Equity Preservation Fee unlocks the home’s Immutable History Ledger, justifying a 3–5% valuation premium for the seller.</w:t>
      </w:r>
    </w:p>
    <w:p w14:paraId="62BB83EB" w14:textId="77777777" w:rsidR="00652F3F" w:rsidRDefault="00000000">
      <w:pPr>
        <w:pStyle w:val="BodyText"/>
      </w:pPr>
      <w:r>
        <w:rPr>
          <w:b/>
          <w:bCs/>
        </w:rPr>
        <w:t>Sub-linear operating costs.</w:t>
      </w:r>
      <w:r>
        <w:t xml:space="preserve"> The BDT’s hierarchical Bayesian cohort structure means that adding the ten-thousandth home costs a lot less to process than the first home. New homes inherit baseline physics from broader regional cohorts and only transition to hyper-local cohort models once the N=90 threshold is reached. The marginal cost of serving one more data customer approaches zero, while the marginal value of one more home in the network compounds. This is the structural reason AIVU’s margins improve as the network grows, rather than scaling proportionally.</w:t>
      </w:r>
    </w:p>
    <w:p w14:paraId="4EC0C4D5" w14:textId="77777777" w:rsidR="00652F3F" w:rsidRDefault="00000000">
      <w:pPr>
        <w:pStyle w:val="BodyText"/>
      </w:pPr>
      <w:r>
        <w:rPr>
          <w:b/>
          <w:bCs/>
        </w:rPr>
        <w:t>The TAM at Series A.</w:t>
      </w:r>
      <w:r>
        <w:t xml:space="preserve"> Capturing 0.7% of U.S. new housing starts (10,000 homes) yields immediate transactional revenue of $41.5M and ARR of $4.5M, with cohort lifetime value approaching $94M.</w:t>
      </w:r>
    </w:p>
    <w:p w14:paraId="544BFFE3" w14:textId="77777777" w:rsidR="00652F3F" w:rsidRDefault="00000000">
      <w:pPr>
        <w:pStyle w:val="BodyText"/>
      </w:pPr>
      <w:r>
        <w:t>The numbers above are drawn from AIVU’s current internal model. They are illustrative of the asymmetry, not load-bearing. The rigorous financial model is a deliverable from the pilot, when measured COGS will replace current assumptions — which is, structurally, the same argument AIVU makes about the rest of the residential industry. We commit to numbers when measurement justifies them, not before.</w:t>
      </w:r>
    </w:p>
    <w:p w14:paraId="02A47F82" w14:textId="77777777" w:rsidR="00652F3F" w:rsidRDefault="00000000">
      <w:pPr>
        <w:pStyle w:val="Heading2"/>
      </w:pPr>
      <w:bookmarkStart w:id="7" w:name="the-architecture-of-irreversibility"/>
      <w:bookmarkEnd w:id="6"/>
      <w:r>
        <w:t>The Architecture of Irreversibility</w:t>
      </w:r>
    </w:p>
    <w:p w14:paraId="7BBC621C" w14:textId="77777777" w:rsidR="00652F3F" w:rsidRDefault="00000000">
      <w:pPr>
        <w:pStyle w:val="FirstParagraph"/>
      </w:pPr>
      <w:r>
        <w:t>We recognize that ambitious unit economics demand rigorous infrastructural discipline. The primary risk for any massive IoT deployment is the “compute trap” — where the cloud costs of processing 1Hz telemetry and the human costs of servicing institutional data customers scale exponentially, destroying gross margins. AIVU’s three-node architecture and Clearinghouse signing layer are the structural proofs that our ecosystem maintains software-grade margins at scale, while making it structurally impractical for external actors to replicate our proprietary data analysis procedures.</w:t>
      </w:r>
    </w:p>
    <w:p w14:paraId="050CBBBF" w14:textId="77777777" w:rsidR="00652F3F" w:rsidRDefault="00000000">
      <w:pPr>
        <w:pStyle w:val="Heading2"/>
      </w:pPr>
      <w:bookmarkStart w:id="8" w:name="go-to-market-capital-sequencing"/>
      <w:bookmarkEnd w:id="7"/>
      <w:r>
        <w:lastRenderedPageBreak/>
        <w:t>Go-To-Market: Capital Sequencing</w:t>
      </w:r>
    </w:p>
    <w:p w14:paraId="548B4442" w14:textId="77777777" w:rsidR="00652F3F" w:rsidRDefault="00000000">
      <w:pPr>
        <w:pStyle w:val="FirstParagraph"/>
      </w:pPr>
      <w:r>
        <w:rPr>
          <w:b/>
          <w:bCs/>
        </w:rPr>
        <w:t>Tranche 1 — Technical De-risking (Angel).</w:t>
      </w:r>
      <w:r>
        <w:t xml:space="preserve"> Eliminate all technical and physics-based risk. Angel capital funds the live Model Home Pilot, which runs two tracks in parallel: validation of AIVU’s proprietary sensors and control stack against physical ground truth, and completion of the dual-track physics that generates the synthetic training set for the first-generation PINN. The two workstreams converge on a fully functional physics-based system wired to a PINN that arrives at every future home already trained across the cohort space. Desired outcome: a signed, binding commitment from a leading production builder for a 50-home field trial.</w:t>
      </w:r>
    </w:p>
    <w:p w14:paraId="7DC688D1" w14:textId="77777777" w:rsidR="00652F3F" w:rsidRDefault="00000000">
      <w:pPr>
        <w:pStyle w:val="BodyText"/>
      </w:pPr>
      <w:r>
        <w:rPr>
          <w:b/>
          <w:bCs/>
        </w:rPr>
        <w:t>Tranche 2 — Operational Scale (Series A).</w:t>
      </w:r>
      <w:r>
        <w:t xml:space="preserve"> Series A capital is operational jet fuel, not R&amp;D money. It funds the 50-home commercial field trial — the phase that definitively proves the elimination of the $30,000-per-home Trust Tax through downsized HVAC CapEx, slashed sales concessions, and released warranty reserves. Because scaling a 50-site hardware deployment requires rigorous supply-chain execution, the founder transitions to Non-Executive Chairman governing the BDT architecture, while a proven scale executive joins as CEO to drive Series A commercial integration.</w:t>
      </w:r>
    </w:p>
    <w:p w14:paraId="447BA8E5" w14:textId="77777777" w:rsidR="00652F3F" w:rsidRDefault="00000000">
      <w:pPr>
        <w:pStyle w:val="BodyText"/>
      </w:pPr>
      <w:r>
        <w:rPr>
          <w:b/>
          <w:bCs/>
        </w:rPr>
        <w:t>Tranche 3 — Market Expansion.</w:t>
      </w:r>
      <w:r>
        <w:t xml:space="preserve"> Once the 50-home trial is live, hyper-local cohorts will cross N=90, triggering Actuarial Maturity Validation that transitions our data into financial-grade institutional truth. With strategic partners underwriting the CapEx based on proven actuarial risk reduction, AIVU scales systematically into 100+ suburbs across the high-growth Sunbelt. As per-unit economics turn highly positive, Metcalfe’s Law takes over: the network becomes more accurate and more profitable with every asset added.</w:t>
      </w:r>
    </w:p>
    <w:p w14:paraId="570B337B" w14:textId="77777777" w:rsidR="00652F3F" w:rsidRDefault="00000000">
      <w:pPr>
        <w:pStyle w:val="Heading2"/>
      </w:pPr>
      <w:bookmarkStart w:id="9" w:name="the-end-state"/>
      <w:bookmarkEnd w:id="8"/>
      <w:r>
        <w:t>The End State</w:t>
      </w:r>
    </w:p>
    <w:p w14:paraId="63C2CACD" w14:textId="77777777" w:rsidR="00652F3F" w:rsidRDefault="00000000">
      <w:pPr>
        <w:pStyle w:val="FirstParagraph"/>
      </w:pPr>
      <w:r>
        <w:t>The first mover in this space establishes structural market leadership that becomes progressively harder for competitors to replicate as the network scales. Off-the-shelf industrial-grade hardware and hierarchical cloud inheritance let our deployment scale identically across 50 homes or 10,000. AIVU’s analysis, once established as the standard for verified performance, allows local agencies to expedite permitting on its records — a self-reinforcing network effect where the density and superiority of our data sets the stage for a natural monopoly. The $30,000 Trust Tax is replaced with fully transparent, physics-based truth. AIVU becomes the operating system for the residential asset class.</w:t>
      </w:r>
      <w:bookmarkEnd w:id="0"/>
      <w:bookmarkEnd w:id="9"/>
    </w:p>
    <w:sectPr w:rsidR="00652F3F">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7465D5" w14:textId="77777777" w:rsidR="00B50831" w:rsidRDefault="00B50831">
      <w:pPr>
        <w:spacing w:after="0"/>
      </w:pPr>
      <w:r>
        <w:separator/>
      </w:r>
    </w:p>
  </w:endnote>
  <w:endnote w:type="continuationSeparator" w:id="0">
    <w:p w14:paraId="77B6B49A" w14:textId="77777777" w:rsidR="00B50831" w:rsidRDefault="00B5083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1"/>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ACC1FC" w14:textId="77777777" w:rsidR="00B50831" w:rsidRDefault="00B50831">
      <w:r>
        <w:separator/>
      </w:r>
    </w:p>
  </w:footnote>
  <w:footnote w:type="continuationSeparator" w:id="0">
    <w:p w14:paraId="15B8CE01" w14:textId="77777777" w:rsidR="00B50831" w:rsidRDefault="00B5083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602338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8893435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3"/>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F3F"/>
    <w:rsid w:val="00652F3F"/>
    <w:rsid w:val="00B50831"/>
    <w:rsid w:val="00CB58A4"/>
    <w:rsid w:val="00E71575"/>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1FB34B"/>
  <w15:docId w15:val="{36775C5B-9A3E-9B44-8A0C-704B5D38E4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2657</Words>
  <Characters>15145</Characters>
  <Application>Microsoft Office Word</Application>
  <DocSecurity>0</DocSecurity>
  <Lines>126</Lines>
  <Paragraphs>35</Paragraphs>
  <ScaleCrop>false</ScaleCrop>
  <Company/>
  <LinksUpToDate>false</LinksUpToDate>
  <CharactersWithSpaces>17767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Jan-Dieter Spalink</dc:creator>
  <cp:keywords/>
  <cp:lastModifiedBy>Jan-Dieter Spalink</cp:lastModifiedBy>
  <cp:revision>2</cp:revision>
  <dcterms:created xsi:type="dcterms:W3CDTF">2026-05-10T10:49:00Z</dcterms:created>
  <dcterms:modified xsi:type="dcterms:W3CDTF">2026-05-10T10:49:00Z</dcterms:modified>
</cp:coreProperties>
</file>