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F3E3" w14:textId="7F2A57D5" w:rsidR="001565E8" w:rsidRPr="00586D97" w:rsidRDefault="001565E8" w:rsidP="000C3F3C">
      <w:pPr>
        <w:pStyle w:val="Heading1"/>
      </w:pPr>
      <w:r w:rsidRPr="000C3F3C">
        <w:t>Approach</w:t>
      </w:r>
    </w:p>
    <w:p w14:paraId="7811EC6F" w14:textId="44558BE8" w:rsidR="001565E8" w:rsidRDefault="002334AC">
      <w:r>
        <w:t>Our GCAM</w:t>
      </w:r>
      <w:r w:rsidR="00C9377D">
        <w:t xml:space="preserve"> representation of</w:t>
      </w:r>
      <w:r w:rsidR="0066295B">
        <w:t xml:space="preserve"> “learning by doing”, a component of</w:t>
      </w:r>
      <w:r w:rsidR="00C9377D">
        <w:t xml:space="preserve"> technological change</w:t>
      </w:r>
      <w:r>
        <w:t xml:space="preserve">, </w:t>
      </w:r>
      <w:r w:rsidR="00C9377D">
        <w:t xml:space="preserve">follows Wright’s </w:t>
      </w:r>
      <w:r>
        <w:t>L</w:t>
      </w:r>
      <w:r w:rsidR="00C9377D">
        <w:t xml:space="preserve">aw, which states that every cumulative doubling of a technology’s </w:t>
      </w:r>
      <w:r w:rsidR="00AD2064">
        <w:t>production</w:t>
      </w:r>
      <w:r w:rsidR="0066295B">
        <w:t xml:space="preserve"> or </w:t>
      </w:r>
      <w:r w:rsidR="00AD2064">
        <w:t>deployment</w:t>
      </w:r>
      <w:r w:rsidR="00C9377D">
        <w:t xml:space="preserve"> will reduce its cost by a constant percentage. This percentage is called the learning rate, denoted </w:t>
      </w:r>
      <w:r w:rsidR="00C9377D" w:rsidRPr="00AD2064">
        <w:rPr>
          <w:i/>
          <w:iCs/>
        </w:rPr>
        <w:t>r</w:t>
      </w:r>
      <w:r w:rsidR="00C9377D">
        <w:t xml:space="preserve">. For example, if </w:t>
      </w:r>
      <w:r w:rsidR="00C9377D" w:rsidRPr="00AD2064">
        <w:rPr>
          <w:i/>
          <w:iCs/>
        </w:rPr>
        <w:t>r = 0.2</w:t>
      </w:r>
      <w:r w:rsidR="00C9377D">
        <w:t xml:space="preserve">, then the technology cost will decrease by 20% each time that the </w:t>
      </w:r>
      <w:r w:rsidR="00AD2064">
        <w:t>cumulative deployment</w:t>
      </w:r>
      <w:r w:rsidR="00C9377D">
        <w:t xml:space="preserve"> doubles. Using Wright’s law, the cost of a technology in year </w:t>
      </w:r>
      <w:r w:rsidR="00C9377D" w:rsidRPr="00C9377D">
        <w:rPr>
          <w:i/>
          <w:iCs/>
        </w:rPr>
        <w:t>t</w:t>
      </w:r>
      <w:r w:rsidR="00C9377D">
        <w:t xml:space="preserve">, </w:t>
      </w:r>
      <w:r w:rsidR="00C9377D" w:rsidRPr="00C9377D">
        <w:rPr>
          <w:i/>
          <w:iCs/>
        </w:rPr>
        <w:t>C</w:t>
      </w:r>
      <w:r w:rsidR="00C9377D" w:rsidRPr="00C9377D">
        <w:rPr>
          <w:i/>
          <w:iCs/>
          <w:vertAlign w:val="subscript"/>
        </w:rPr>
        <w:t>t</w:t>
      </w:r>
      <w:r w:rsidR="00C9377D">
        <w:t>, can be written as:</w:t>
      </w:r>
    </w:p>
    <w:p w14:paraId="7FB15EA4" w14:textId="0091E9BC" w:rsidR="00C9377D" w:rsidRDefault="00000000">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t</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(1-r)</m:t>
                  </m:r>
                </m:e>
              </m:func>
            </m:sup>
          </m:sSubSup>
        </m:oMath>
      </m:oMathPara>
    </w:p>
    <w:p w14:paraId="094BC2E9" w14:textId="6F496354" w:rsidR="00C9377D" w:rsidRDefault="00AD2064">
      <w:r>
        <w:t xml:space="preserve">where </w:t>
      </w:r>
      <w:r w:rsidRPr="00AD2064">
        <w:rPr>
          <w:i/>
          <w:iCs/>
        </w:rPr>
        <w:t>Q</w:t>
      </w:r>
      <w:r w:rsidRPr="00AD2064">
        <w:rPr>
          <w:i/>
          <w:iCs/>
          <w:vertAlign w:val="subscript"/>
        </w:rPr>
        <w:t>t</w:t>
      </w:r>
      <w:r>
        <w:t xml:space="preserve"> is the cumulative deployment of the technology in year </w:t>
      </w:r>
      <w:r w:rsidRPr="00AD2064">
        <w:rPr>
          <w:i/>
          <w:iCs/>
        </w:rPr>
        <w:t>t</w:t>
      </w:r>
      <w:r>
        <w:t xml:space="preserve"> and </w:t>
      </w:r>
      <w:r w:rsidRPr="00AD2064">
        <w:rPr>
          <w:i/>
          <w:iCs/>
        </w:rPr>
        <w:t>A</w:t>
      </w:r>
      <w:r>
        <w:t xml:space="preserve"> is a constant representing the first-of-a-kind (FOAK) cost of the technology (i.e., the cost of the first unit produced or deployed, such that </w:t>
      </w:r>
      <w:r w:rsidRPr="00AD2064">
        <w:rPr>
          <w:i/>
          <w:iCs/>
        </w:rPr>
        <w:t>C</w:t>
      </w:r>
      <w:r w:rsidRPr="00AD2064">
        <w:rPr>
          <w:i/>
          <w:iCs/>
          <w:vertAlign w:val="subscript"/>
        </w:rPr>
        <w:t>t</w:t>
      </w:r>
      <w:r w:rsidRPr="00AD2064">
        <w:rPr>
          <w:i/>
          <w:iCs/>
        </w:rPr>
        <w:t xml:space="preserve"> = A</w:t>
      </w:r>
      <w:r>
        <w:t xml:space="preserve"> when </w:t>
      </w:r>
      <w:r w:rsidRPr="00AD2064">
        <w:rPr>
          <w:i/>
          <w:iCs/>
        </w:rPr>
        <w:t>Q</w:t>
      </w:r>
      <w:r w:rsidRPr="00AD2064">
        <w:rPr>
          <w:i/>
          <w:iCs/>
          <w:vertAlign w:val="subscript"/>
        </w:rPr>
        <w:t>t</w:t>
      </w:r>
      <w:r w:rsidRPr="00AD2064">
        <w:rPr>
          <w:i/>
          <w:iCs/>
        </w:rPr>
        <w:t xml:space="preserve"> = 1</w:t>
      </w:r>
      <w:r>
        <w:t xml:space="preserve">). </w:t>
      </w:r>
    </w:p>
    <w:p w14:paraId="7A326680" w14:textId="3AFC06E6" w:rsidR="00AD2064" w:rsidRDefault="00AD2064">
      <w:r>
        <w:t xml:space="preserve">This equation can also be expressed in terms of the cost and deployment of the technology at any given reference year </w:t>
      </w:r>
      <w:r w:rsidRPr="00AD2064">
        <w:rPr>
          <w:i/>
          <w:iCs/>
        </w:rPr>
        <w:t>t</w:t>
      </w:r>
      <w:r w:rsidRPr="00AD2064">
        <w:rPr>
          <w:i/>
          <w:iCs/>
          <w:vertAlign w:val="subscript"/>
        </w:rPr>
        <w:t>0</w:t>
      </w:r>
      <w:r>
        <w:t xml:space="preserve"> rather than the FOAK cost:</w:t>
      </w:r>
    </w:p>
    <w:p w14:paraId="156D4AF5" w14:textId="351AFCB3" w:rsidR="00AD2064" w:rsidRDefault="00000000" w:rsidP="00AD2064">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m:t>
                          </m:r>
                        </m:sub>
                      </m:sSub>
                    </m:num>
                    <m:den>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en>
                  </m:f>
                </m:e>
              </m:d>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(1-r)</m:t>
                  </m:r>
                </m:e>
              </m:func>
            </m:sup>
          </m:sSup>
        </m:oMath>
      </m:oMathPara>
    </w:p>
    <w:p w14:paraId="763EE31C" w14:textId="77777777" w:rsidR="00912C87" w:rsidRDefault="00912C87"/>
    <w:p w14:paraId="2854662D" w14:textId="44955A3E" w:rsidR="00C33F5C" w:rsidRPr="00912C87" w:rsidRDefault="00912C87" w:rsidP="000C3F3C">
      <w:pPr>
        <w:pStyle w:val="Heading1"/>
      </w:pPr>
      <w:r w:rsidRPr="00912C87">
        <w:t>Application to power sector technologies</w:t>
      </w:r>
      <w:r w:rsidR="00F055A6">
        <w:t xml:space="preserve"> in GCAM</w:t>
      </w:r>
    </w:p>
    <w:p w14:paraId="7586FED8" w14:textId="17AA09F2" w:rsidR="00912C87" w:rsidRDefault="00CA38C7">
      <w:pPr>
        <w:rPr>
          <w:rFonts w:eastAsiaTheme="minorEastAsia"/>
        </w:rPr>
      </w:pPr>
      <w:r>
        <w:t>For power sector technologies</w:t>
      </w:r>
      <w:r w:rsidR="00912C87">
        <w:t>, cumulative deployment</w:t>
      </w:r>
      <w:r>
        <w:t xml:space="preserve"> in a period </w:t>
      </w:r>
      <w:r w:rsidRPr="00CA38C7">
        <w:rPr>
          <w:i/>
          <w:iCs/>
        </w:rPr>
        <w:t>t</w:t>
      </w:r>
      <w:r w:rsidR="00912C87">
        <w:t xml:space="preserve"> (Q</w:t>
      </w:r>
      <w:r w:rsidRPr="00CA38C7">
        <w:rPr>
          <w:vertAlign w:val="subscript"/>
        </w:rPr>
        <w:t>t</w:t>
      </w:r>
      <w:r w:rsidR="00912C87">
        <w:t xml:space="preserve">) can be interpreted as the cumulative </w:t>
      </w:r>
      <w:r w:rsidR="002334AC">
        <w:t xml:space="preserve">electric </w:t>
      </w:r>
      <w:r w:rsidR="00912C87">
        <w:t>capacity deployed (i.e., the sum of new capacity added in each year up to and including year t). To apply Wright’s law, we need to know the learning rate of each technology as well as either</w:t>
      </w:r>
      <w:r w:rsidR="002334AC">
        <w:t xml:space="preserve"> (a) the cost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rsidR="002334AC">
        <w:t xml:space="preserve"> and cumulative deployment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rsidR="002334AC">
        <w:rPr>
          <w:rFonts w:eastAsiaTheme="minorEastAsia"/>
        </w:rPr>
        <w:t xml:space="preserve"> in the reference year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2334AC">
        <w:rPr>
          <w:rFonts w:eastAsiaTheme="minorEastAsia"/>
        </w:rPr>
        <w:t xml:space="preserve"> </w:t>
      </w:r>
      <w:r w:rsidR="002334AC">
        <w:t xml:space="preserve">or </w:t>
      </w:r>
      <w:r w:rsidR="00912C87">
        <w:t>(</w:t>
      </w:r>
      <w:r w:rsidR="002334AC">
        <w:t>b</w:t>
      </w:r>
      <w:r w:rsidR="00912C87">
        <w:t xml:space="preserve">) the FOAK cost for technologies not yet deployed as of a given reference year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2334AC">
        <w:t>.</w:t>
      </w:r>
    </w:p>
    <w:p w14:paraId="6DB58BB3" w14:textId="4EA6F991" w:rsidR="009D7434" w:rsidRDefault="00CA38C7">
      <w:r>
        <w:t>GCAM power sector technologies may be made up of multiple components with different learning rates</w:t>
      </w:r>
      <w:r w:rsidR="00912C87">
        <w:t xml:space="preserve">. For example, </w:t>
      </w:r>
      <w:r>
        <w:t>most</w:t>
      </w:r>
      <w:r w:rsidR="00912C87">
        <w:t xml:space="preserve"> sources estimate the learning rate of solar PV modules at </w:t>
      </w:r>
      <w:r>
        <w:t xml:space="preserve">around </w:t>
      </w:r>
      <w:r w:rsidR="00912C87">
        <w:t xml:space="preserve">20%. However, the cost of the rest of a utility scale solar PV plant, or </w:t>
      </w:r>
      <w:r w:rsidR="002334AC">
        <w:t>the balance-of-system (BOS)</w:t>
      </w:r>
      <w:r w:rsidR="00912C87">
        <w:t xml:space="preserve">, may not </w:t>
      </w:r>
      <w:r w:rsidR="009D7434">
        <w:t>decrease as rapidly with cumulative PV deployment</w:t>
      </w:r>
      <w:r w:rsidR="002334AC">
        <w:t xml:space="preserve"> due to the need for more site-specific customization</w:t>
      </w:r>
      <w:r w:rsidR="009D7434">
        <w:t xml:space="preserve">. Therefore, we should not assume that the entire capital cost of utility scale solar PV decreases at a learning rate of 20%. Instead, we </w:t>
      </w:r>
      <w:r w:rsidR="002334AC">
        <w:t xml:space="preserve">can </w:t>
      </w:r>
      <w:r w:rsidR="009D7434">
        <w:t xml:space="preserve">assign learning rates </w:t>
      </w:r>
      <w:r w:rsidR="002334AC">
        <w:t xml:space="preserve">and </w:t>
      </w:r>
      <w:r w:rsidR="009D7434">
        <w:t>reference yea</w:t>
      </w:r>
      <w:r w:rsidR="002334AC">
        <w:t>r or</w:t>
      </w:r>
      <w:r w:rsidR="009D7434">
        <w:t xml:space="preserve"> FOAK costs to individual “learning components” which may correspond with</w:t>
      </w:r>
      <w:r>
        <w:t xml:space="preserve"> either</w:t>
      </w:r>
      <w:r w:rsidR="009D7434">
        <w:t xml:space="preserve"> an entire GCAM technology (e.g., offshore wind) or a component of a GCAM technology (e.g., PV module, utility PV </w:t>
      </w:r>
      <w:r w:rsidR="002334AC">
        <w:t>BOS</w:t>
      </w:r>
      <w:r w:rsidR="009D7434">
        <w:t>,</w:t>
      </w:r>
      <w:r w:rsidR="002334AC">
        <w:t xml:space="preserve"> rooftop PV BOS,</w:t>
      </w:r>
      <w:r w:rsidR="009D7434">
        <w:t xml:space="preserve"> grid storage, or CCS). </w:t>
      </w:r>
    </w:p>
    <w:p w14:paraId="3C641625" w14:textId="2AC61DDB" w:rsidR="00711FCF" w:rsidRDefault="009D7434">
      <w:r>
        <w:t>This framework allows for</w:t>
      </w:r>
      <w:r w:rsidR="00CA38C7">
        <w:t xml:space="preserve"> the</w:t>
      </w:r>
      <w:r>
        <w:t xml:space="preserve"> cumulative deployment of multiple GCAM technologies</w:t>
      </w:r>
      <w:r w:rsidR="00CA38C7">
        <w:t xml:space="preserve"> combined</w:t>
      </w:r>
      <w:r>
        <w:t xml:space="preserve"> to contribute to the learning curve of one learning component (e.g., PV, </w:t>
      </w:r>
      <w:proofErr w:type="spellStart"/>
      <w:r>
        <w:t>rooftop_pv</w:t>
      </w:r>
      <w:proofErr w:type="spellEnd"/>
      <w:r>
        <w:t xml:space="preserve">, and </w:t>
      </w:r>
      <w:proofErr w:type="spellStart"/>
      <w:r>
        <w:t>PV_storage</w:t>
      </w:r>
      <w:proofErr w:type="spellEnd"/>
      <w:r>
        <w:t xml:space="preserve"> all contribute to learning for PV modules). It also </w:t>
      </w:r>
      <w:r w:rsidR="00955ACB">
        <w:t xml:space="preserve">allows for </w:t>
      </w:r>
      <w:r>
        <w:t xml:space="preserve">the capital cost of a single GCAM technology to be </w:t>
      </w:r>
      <w:r w:rsidR="00CA38C7">
        <w:t>derived from</w:t>
      </w:r>
      <w:r>
        <w:t xml:space="preserve"> the learning curves of multiple learning components (e.g., </w:t>
      </w:r>
      <w:r w:rsidR="00CA38C7">
        <w:t xml:space="preserve">the </w:t>
      </w:r>
      <w:proofErr w:type="spellStart"/>
      <w:r>
        <w:t>PV_storage</w:t>
      </w:r>
      <w:proofErr w:type="spellEnd"/>
      <w:r>
        <w:t xml:space="preserve"> </w:t>
      </w:r>
      <w:r w:rsidR="00CA38C7">
        <w:t xml:space="preserve">endogenous capital cost </w:t>
      </w:r>
      <w:r>
        <w:t xml:space="preserve">is </w:t>
      </w:r>
      <w:r w:rsidR="00CA38C7">
        <w:t>derived from the</w:t>
      </w:r>
      <w:r>
        <w:t xml:space="preserve"> </w:t>
      </w:r>
      <w:r w:rsidR="00CA38C7">
        <w:t>learning curve outputs of</w:t>
      </w:r>
      <w:r>
        <w:t xml:space="preserve"> PV modules, utility PV BOS, and grid</w:t>
      </w:r>
      <w:r w:rsidR="00CA38C7">
        <w:t xml:space="preserve"> battery</w:t>
      </w:r>
      <w:r>
        <w:t xml:space="preserve"> storage). The diagram below shows </w:t>
      </w:r>
      <w:r w:rsidR="003175E0">
        <w:t xml:space="preserve">the relationships between GCAM technologies and learning components. </w:t>
      </w:r>
      <w:r w:rsidR="00CA38C7">
        <w:t xml:space="preserve">Each learning component in the middle column is assigned learning curve parameters, </w:t>
      </w:r>
      <w:r w:rsidR="00CA38C7">
        <w:lastRenderedPageBreak/>
        <w:t>including a learning rate and either a FOAK cost or a base year cost and deployment level. In any given future period, t</w:t>
      </w:r>
      <w:r w:rsidR="003175E0">
        <w:t xml:space="preserve">he cumulative deployment of GCAM technologies in the left column </w:t>
      </w:r>
      <w:r w:rsidR="00CA38C7">
        <w:t>are applied to the learning curves</w:t>
      </w:r>
      <w:r w:rsidR="003175E0">
        <w:t xml:space="preserve"> of the learning components in the middle column, </w:t>
      </w:r>
      <w:r w:rsidR="00CA38C7">
        <w:t>resulting in endogenous costs of all learning components. T</w:t>
      </w:r>
      <w:r w:rsidR="003175E0">
        <w:t xml:space="preserve">he endogenous costs of GCAM technologies in the right column are then determined based on the sum of their </w:t>
      </w:r>
      <w:r w:rsidR="00CA38C7">
        <w:t xml:space="preserve">respective </w:t>
      </w:r>
      <w:r w:rsidR="003175E0">
        <w:t>learning components’ costs.</w:t>
      </w:r>
      <w:r w:rsidR="00CA38C7">
        <w:t xml:space="preserve"> These endogenous costs are applied to the GCAM technologies in the following period.</w:t>
      </w:r>
    </w:p>
    <w:p w14:paraId="3EF90B76" w14:textId="77777777" w:rsidR="00586D97" w:rsidRDefault="003175E0" w:rsidP="00586D97">
      <w:pPr>
        <w:keepNext/>
      </w:pPr>
      <w:r>
        <w:rPr>
          <w:b/>
          <w:bCs/>
          <w:noProof/>
        </w:rPr>
        <w:drawing>
          <wp:inline distT="0" distB="0" distL="0" distR="0" wp14:anchorId="208604BA" wp14:editId="267B5269">
            <wp:extent cx="5934635" cy="5168265"/>
            <wp:effectExtent l="0" t="0" r="0" b="0"/>
            <wp:docPr id="8000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1757"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34635" cy="5168265"/>
                    </a:xfrm>
                    <a:prstGeom prst="rect">
                      <a:avLst/>
                    </a:prstGeom>
                    <a:noFill/>
                    <a:ln>
                      <a:noFill/>
                    </a:ln>
                  </pic:spPr>
                </pic:pic>
              </a:graphicData>
            </a:graphic>
          </wp:inline>
        </w:drawing>
      </w:r>
    </w:p>
    <w:p w14:paraId="2F2989F5" w14:textId="68E07F76" w:rsidR="00711FCF" w:rsidRPr="00586D97" w:rsidRDefault="00586D97" w:rsidP="00586D97">
      <w:pPr>
        <w:pStyle w:val="Caption"/>
        <w:rPr>
          <w:b/>
          <w:bC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67057">
        <w:t>Mappings between GCAM power sector technologies and learning components.</w:t>
      </w:r>
    </w:p>
    <w:p w14:paraId="3E167E36" w14:textId="77777777" w:rsidR="00586D97" w:rsidRDefault="00586D97"/>
    <w:p w14:paraId="3E648741" w14:textId="0D7434B3" w:rsidR="00711FCF" w:rsidRDefault="000438E9">
      <w:r w:rsidRPr="000438E9">
        <w:t xml:space="preserve">For consistency with </w:t>
      </w:r>
      <w:r>
        <w:t xml:space="preserve">GCAM’s current base year, we use 2015 for the reference year cost and deployment in the learning curve equations. The table below summarizes the values of </w:t>
      </w:r>
      <w:r w:rsidRPr="000438E9">
        <w:rPr>
          <w:i/>
          <w:iCs/>
        </w:rPr>
        <w:t>r</w:t>
      </w:r>
      <w:r>
        <w:t xml:space="preserve">, </w:t>
      </w:r>
      <w:r w:rsidRPr="000438E9">
        <w:rPr>
          <w:i/>
          <w:iCs/>
        </w:rPr>
        <w:t>C</w:t>
      </w:r>
      <w:r w:rsidRPr="000438E9">
        <w:rPr>
          <w:i/>
          <w:iCs/>
          <w:vertAlign w:val="subscript"/>
        </w:rPr>
        <w:t>2015</w:t>
      </w:r>
      <w:r>
        <w:t xml:space="preserve">, and </w:t>
      </w:r>
      <w:r w:rsidRPr="000438E9">
        <w:rPr>
          <w:i/>
          <w:iCs/>
        </w:rPr>
        <w:t>Q</w:t>
      </w:r>
      <w:r w:rsidRPr="000438E9">
        <w:rPr>
          <w:i/>
          <w:iCs/>
          <w:vertAlign w:val="subscript"/>
        </w:rPr>
        <w:t>2015</w:t>
      </w:r>
      <w:r>
        <w:t xml:space="preserve"> used for each learning component and the sources of these values. Note that for CCS technologies, which were not yet deployed in 2015, we set </w:t>
      </w:r>
      <w:r w:rsidRPr="000438E9">
        <w:rPr>
          <w:i/>
          <w:iCs/>
        </w:rPr>
        <w:t>Q</w:t>
      </w:r>
      <w:r w:rsidRPr="000438E9">
        <w:rPr>
          <w:i/>
          <w:iCs/>
          <w:vertAlign w:val="subscript"/>
        </w:rPr>
        <w:t>2015</w:t>
      </w:r>
      <w:r w:rsidRPr="000438E9">
        <w:rPr>
          <w:i/>
          <w:iCs/>
        </w:rPr>
        <w:t xml:space="preserve"> = 1</w:t>
      </w:r>
      <w:r>
        <w:t xml:space="preserve"> and use an assumed FOAK cost for </w:t>
      </w:r>
      <w:r w:rsidRPr="000438E9">
        <w:rPr>
          <w:i/>
          <w:iCs/>
        </w:rPr>
        <w:t>C</w:t>
      </w:r>
      <w:r w:rsidRPr="000438E9">
        <w:rPr>
          <w:i/>
          <w:iCs/>
          <w:vertAlign w:val="subscript"/>
        </w:rPr>
        <w:t>2015</w:t>
      </w:r>
      <w:r>
        <w:t xml:space="preserve">. </w:t>
      </w:r>
    </w:p>
    <w:p w14:paraId="4A4F44B3" w14:textId="77777777" w:rsidR="00586D97" w:rsidRDefault="00586D97"/>
    <w:p w14:paraId="14953AFF" w14:textId="74BB084D" w:rsidR="00586D97" w:rsidRDefault="00586D97" w:rsidP="00586D97">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5A2049">
        <w:t>Learning curve (Wright’s Law) parameters for each GCAM learning component.</w:t>
      </w:r>
    </w:p>
    <w:tbl>
      <w:tblPr>
        <w:tblStyle w:val="TableGrid"/>
        <w:tblW w:w="0" w:type="auto"/>
        <w:tblLook w:val="04A0" w:firstRow="1" w:lastRow="0" w:firstColumn="1" w:lastColumn="0" w:noHBand="0" w:noVBand="1"/>
      </w:tblPr>
      <w:tblGrid>
        <w:gridCol w:w="1916"/>
        <w:gridCol w:w="1011"/>
        <w:gridCol w:w="1408"/>
        <w:gridCol w:w="1112"/>
        <w:gridCol w:w="1391"/>
        <w:gridCol w:w="1330"/>
        <w:gridCol w:w="1182"/>
      </w:tblGrid>
      <w:tr w:rsidR="004F25AC" w14:paraId="4ACDA787" w14:textId="77777777" w:rsidTr="00586D97">
        <w:tc>
          <w:tcPr>
            <w:tcW w:w="1916" w:type="dxa"/>
          </w:tcPr>
          <w:p w14:paraId="7203D776" w14:textId="6B339D19" w:rsidR="006C4A5D" w:rsidRPr="004F25AC" w:rsidRDefault="006C4A5D">
            <w:pPr>
              <w:rPr>
                <w:b/>
                <w:bCs/>
              </w:rPr>
            </w:pPr>
            <w:r w:rsidRPr="004F25AC">
              <w:rPr>
                <w:b/>
                <w:bCs/>
              </w:rPr>
              <w:t>Learning component</w:t>
            </w:r>
          </w:p>
        </w:tc>
        <w:tc>
          <w:tcPr>
            <w:tcW w:w="1011" w:type="dxa"/>
          </w:tcPr>
          <w:p w14:paraId="186DCA5F" w14:textId="39A2166C" w:rsidR="006C4A5D" w:rsidRPr="004F25AC" w:rsidRDefault="006C4A5D">
            <w:pPr>
              <w:rPr>
                <w:b/>
                <w:bCs/>
              </w:rPr>
            </w:pPr>
            <w:r w:rsidRPr="004F25AC">
              <w:rPr>
                <w:b/>
                <w:bCs/>
              </w:rPr>
              <w:t>Learning rate</w:t>
            </w:r>
          </w:p>
        </w:tc>
        <w:tc>
          <w:tcPr>
            <w:tcW w:w="1408" w:type="dxa"/>
          </w:tcPr>
          <w:p w14:paraId="46F965C5" w14:textId="717B1EEF" w:rsidR="006C4A5D" w:rsidRPr="004F25AC" w:rsidRDefault="006C4A5D">
            <w:pPr>
              <w:rPr>
                <w:b/>
                <w:bCs/>
              </w:rPr>
            </w:pPr>
            <w:r w:rsidRPr="004F25AC">
              <w:rPr>
                <w:b/>
                <w:bCs/>
              </w:rPr>
              <w:t>Learning rate source</w:t>
            </w:r>
          </w:p>
        </w:tc>
        <w:tc>
          <w:tcPr>
            <w:tcW w:w="1112" w:type="dxa"/>
          </w:tcPr>
          <w:p w14:paraId="68C20670" w14:textId="15207928" w:rsidR="006C4A5D" w:rsidRPr="004F25AC" w:rsidRDefault="006C4A5D">
            <w:pPr>
              <w:rPr>
                <w:b/>
                <w:bCs/>
              </w:rPr>
            </w:pPr>
            <w:r w:rsidRPr="004F25AC">
              <w:rPr>
                <w:b/>
                <w:bCs/>
              </w:rPr>
              <w:t>C</w:t>
            </w:r>
            <w:r w:rsidRPr="004F25AC">
              <w:rPr>
                <w:b/>
                <w:bCs/>
                <w:vertAlign w:val="subscript"/>
              </w:rPr>
              <w:t>2015</w:t>
            </w:r>
            <w:r w:rsidRPr="004F25AC">
              <w:rPr>
                <w:b/>
                <w:bCs/>
              </w:rPr>
              <w:t xml:space="preserve"> </w:t>
            </w:r>
            <w:r w:rsidRPr="004F25AC">
              <w:rPr>
                <w:b/>
                <w:bCs/>
                <w:sz w:val="18"/>
                <w:szCs w:val="18"/>
              </w:rPr>
              <w:t>(1975$/kW)</w:t>
            </w:r>
          </w:p>
        </w:tc>
        <w:tc>
          <w:tcPr>
            <w:tcW w:w="1391" w:type="dxa"/>
          </w:tcPr>
          <w:p w14:paraId="767DE8A7" w14:textId="44B840E1" w:rsidR="006C4A5D" w:rsidRPr="004F25AC" w:rsidRDefault="006C4A5D">
            <w:pPr>
              <w:rPr>
                <w:b/>
                <w:bCs/>
              </w:rPr>
            </w:pPr>
            <w:r w:rsidRPr="004F25AC">
              <w:rPr>
                <w:b/>
                <w:bCs/>
              </w:rPr>
              <w:t>C</w:t>
            </w:r>
            <w:r w:rsidRPr="004F25AC">
              <w:rPr>
                <w:b/>
                <w:bCs/>
                <w:vertAlign w:val="subscript"/>
              </w:rPr>
              <w:t>2015</w:t>
            </w:r>
            <w:r w:rsidRPr="004F25AC">
              <w:rPr>
                <w:b/>
                <w:bCs/>
              </w:rPr>
              <w:t xml:space="preserve"> source</w:t>
            </w:r>
          </w:p>
        </w:tc>
        <w:tc>
          <w:tcPr>
            <w:tcW w:w="1330" w:type="dxa"/>
          </w:tcPr>
          <w:p w14:paraId="57533312" w14:textId="53716511" w:rsidR="006C4A5D" w:rsidRPr="004F25AC" w:rsidRDefault="006C4A5D">
            <w:pPr>
              <w:rPr>
                <w:b/>
                <w:bCs/>
              </w:rPr>
            </w:pPr>
            <w:r w:rsidRPr="004F25AC">
              <w:rPr>
                <w:b/>
                <w:bCs/>
              </w:rPr>
              <w:t>Q</w:t>
            </w:r>
            <w:r w:rsidRPr="004F25AC">
              <w:rPr>
                <w:b/>
                <w:bCs/>
                <w:vertAlign w:val="subscript"/>
              </w:rPr>
              <w:t>2015</w:t>
            </w:r>
            <w:r w:rsidRPr="004F25AC">
              <w:rPr>
                <w:b/>
                <w:bCs/>
              </w:rPr>
              <w:t xml:space="preserve"> (kW)</w:t>
            </w:r>
          </w:p>
        </w:tc>
        <w:tc>
          <w:tcPr>
            <w:tcW w:w="1182" w:type="dxa"/>
          </w:tcPr>
          <w:p w14:paraId="2DDB22AA" w14:textId="0010F0A0" w:rsidR="006C4A5D" w:rsidRPr="004F25AC" w:rsidRDefault="006C4A5D">
            <w:pPr>
              <w:rPr>
                <w:b/>
                <w:bCs/>
              </w:rPr>
            </w:pPr>
            <w:r w:rsidRPr="004F25AC">
              <w:rPr>
                <w:b/>
                <w:bCs/>
              </w:rPr>
              <w:t>Q</w:t>
            </w:r>
            <w:r w:rsidRPr="004F25AC">
              <w:rPr>
                <w:b/>
                <w:bCs/>
                <w:vertAlign w:val="subscript"/>
              </w:rPr>
              <w:t xml:space="preserve">2015 </w:t>
            </w:r>
            <w:r w:rsidRPr="004F25AC">
              <w:rPr>
                <w:b/>
                <w:bCs/>
              </w:rPr>
              <w:t>source</w:t>
            </w:r>
          </w:p>
        </w:tc>
      </w:tr>
      <w:tr w:rsidR="004F25AC" w14:paraId="2FAA5406" w14:textId="77777777" w:rsidTr="00586D97">
        <w:tc>
          <w:tcPr>
            <w:tcW w:w="1916" w:type="dxa"/>
          </w:tcPr>
          <w:p w14:paraId="4EA0C2BB" w14:textId="555CC441" w:rsidR="006C4A5D" w:rsidRDefault="004F25AC">
            <w:r>
              <w:t>PV module</w:t>
            </w:r>
          </w:p>
        </w:tc>
        <w:tc>
          <w:tcPr>
            <w:tcW w:w="1011" w:type="dxa"/>
          </w:tcPr>
          <w:p w14:paraId="085B4DDD" w14:textId="61271244" w:rsidR="006C4A5D" w:rsidRDefault="004F25AC">
            <w:r>
              <w:t>0.215</w:t>
            </w:r>
          </w:p>
        </w:tc>
        <w:tc>
          <w:tcPr>
            <w:tcW w:w="1408" w:type="dxa"/>
          </w:tcPr>
          <w:p w14:paraId="31C6C72A" w14:textId="000791DE" w:rsidR="006C4A5D" w:rsidRDefault="006A2F53">
            <w:hyperlink r:id="rId6" w:history="1">
              <w:r w:rsidR="004F25AC" w:rsidRPr="006A2F53">
                <w:rPr>
                  <w:rStyle w:val="Hyperlink"/>
                </w:rPr>
                <w:t>Malhotra &amp; Schmidt</w:t>
              </w:r>
            </w:hyperlink>
          </w:p>
        </w:tc>
        <w:tc>
          <w:tcPr>
            <w:tcW w:w="1112" w:type="dxa"/>
          </w:tcPr>
          <w:p w14:paraId="31D372B8" w14:textId="4519BBFC" w:rsidR="006C4A5D" w:rsidRDefault="004F25AC">
            <w:r>
              <w:t>188</w:t>
            </w:r>
          </w:p>
        </w:tc>
        <w:tc>
          <w:tcPr>
            <w:tcW w:w="1391" w:type="dxa"/>
          </w:tcPr>
          <w:p w14:paraId="17E4DC3B" w14:textId="1F22E809" w:rsidR="006C4A5D" w:rsidRDefault="00000000">
            <w:hyperlink r:id="rId7" w:history="1">
              <w:r w:rsidR="004F25AC" w:rsidRPr="004F25AC">
                <w:rPr>
                  <w:rStyle w:val="Hyperlink"/>
                </w:rPr>
                <w:t>NREL 2018</w:t>
              </w:r>
            </w:hyperlink>
          </w:p>
        </w:tc>
        <w:tc>
          <w:tcPr>
            <w:tcW w:w="1330" w:type="dxa"/>
          </w:tcPr>
          <w:p w14:paraId="41E17FAD" w14:textId="6EF4EBC2" w:rsidR="006C4A5D" w:rsidRDefault="004F25AC">
            <w:r>
              <w:t>25</w:t>
            </w:r>
            <w:r w:rsidR="007762A3">
              <w:t>,</w:t>
            </w:r>
            <w:r>
              <w:t>689</w:t>
            </w:r>
            <w:r w:rsidR="007762A3">
              <w:t>,</w:t>
            </w:r>
            <w:r>
              <w:t>000</w:t>
            </w:r>
          </w:p>
        </w:tc>
        <w:tc>
          <w:tcPr>
            <w:tcW w:w="1182" w:type="dxa"/>
          </w:tcPr>
          <w:p w14:paraId="02EBEB30" w14:textId="4F160C44" w:rsidR="006C4A5D" w:rsidRDefault="00000000">
            <w:hyperlink r:id="rId8" w:history="1">
              <w:r w:rsidR="004F25AC" w:rsidRPr="004F25AC">
                <w:rPr>
                  <w:rStyle w:val="Hyperlink"/>
                </w:rPr>
                <w:t>NREL 2018</w:t>
              </w:r>
            </w:hyperlink>
          </w:p>
        </w:tc>
      </w:tr>
      <w:tr w:rsidR="004F25AC" w14:paraId="13AE588B" w14:textId="77777777" w:rsidTr="00586D97">
        <w:tc>
          <w:tcPr>
            <w:tcW w:w="1916" w:type="dxa"/>
          </w:tcPr>
          <w:p w14:paraId="34663DE1" w14:textId="43FC78BD" w:rsidR="006C4A5D" w:rsidRDefault="004F25AC">
            <w:r>
              <w:t>Utility PV BOS</w:t>
            </w:r>
          </w:p>
        </w:tc>
        <w:tc>
          <w:tcPr>
            <w:tcW w:w="1011" w:type="dxa"/>
          </w:tcPr>
          <w:p w14:paraId="5160A718" w14:textId="12D79D45" w:rsidR="006C4A5D" w:rsidRDefault="004F25AC">
            <w:r>
              <w:t>0.14</w:t>
            </w:r>
          </w:p>
        </w:tc>
        <w:tc>
          <w:tcPr>
            <w:tcW w:w="1408" w:type="dxa"/>
          </w:tcPr>
          <w:p w14:paraId="03F73311" w14:textId="77777777" w:rsidR="006C4A5D" w:rsidRDefault="006C4A5D"/>
        </w:tc>
        <w:tc>
          <w:tcPr>
            <w:tcW w:w="1112" w:type="dxa"/>
          </w:tcPr>
          <w:p w14:paraId="3D6EC381" w14:textId="3891BF62" w:rsidR="006C4A5D" w:rsidRDefault="004F25AC">
            <w:r>
              <w:t>345</w:t>
            </w:r>
          </w:p>
        </w:tc>
        <w:tc>
          <w:tcPr>
            <w:tcW w:w="1391" w:type="dxa"/>
          </w:tcPr>
          <w:p w14:paraId="5D4F0BC5" w14:textId="46DC53AC" w:rsidR="006C4A5D" w:rsidRDefault="00000000">
            <w:hyperlink r:id="rId9" w:history="1">
              <w:r w:rsidR="004F25AC" w:rsidRPr="004F25AC">
                <w:rPr>
                  <w:rStyle w:val="Hyperlink"/>
                </w:rPr>
                <w:t>NREL 2018</w:t>
              </w:r>
            </w:hyperlink>
          </w:p>
        </w:tc>
        <w:tc>
          <w:tcPr>
            <w:tcW w:w="1330" w:type="dxa"/>
          </w:tcPr>
          <w:p w14:paraId="3C837196" w14:textId="0C627C34" w:rsidR="006C4A5D" w:rsidRDefault="004F25AC">
            <w:r>
              <w:t>14</w:t>
            </w:r>
            <w:r w:rsidR="007762A3">
              <w:t>,</w:t>
            </w:r>
            <w:r>
              <w:t>907</w:t>
            </w:r>
            <w:r w:rsidR="007762A3">
              <w:t>,</w:t>
            </w:r>
            <w:r>
              <w:t>000</w:t>
            </w:r>
          </w:p>
        </w:tc>
        <w:tc>
          <w:tcPr>
            <w:tcW w:w="1182" w:type="dxa"/>
          </w:tcPr>
          <w:p w14:paraId="19A96C59" w14:textId="47D0A94E" w:rsidR="006C4A5D" w:rsidRDefault="00000000">
            <w:hyperlink r:id="rId10" w:history="1">
              <w:r w:rsidR="004F25AC" w:rsidRPr="004F25AC">
                <w:rPr>
                  <w:rStyle w:val="Hyperlink"/>
                </w:rPr>
                <w:t>NREL 2018</w:t>
              </w:r>
            </w:hyperlink>
          </w:p>
        </w:tc>
      </w:tr>
      <w:tr w:rsidR="004F25AC" w14:paraId="7A3ABD10" w14:textId="77777777" w:rsidTr="00586D97">
        <w:tc>
          <w:tcPr>
            <w:tcW w:w="1916" w:type="dxa"/>
          </w:tcPr>
          <w:p w14:paraId="2287878B" w14:textId="6ED2D518" w:rsidR="006C4A5D" w:rsidRDefault="004F25AC">
            <w:r>
              <w:t>Rooftop PV BOS</w:t>
            </w:r>
          </w:p>
        </w:tc>
        <w:tc>
          <w:tcPr>
            <w:tcW w:w="1011" w:type="dxa"/>
          </w:tcPr>
          <w:p w14:paraId="44679811" w14:textId="659E69BC" w:rsidR="006C4A5D" w:rsidRDefault="004F25AC">
            <w:r>
              <w:t>0.145</w:t>
            </w:r>
          </w:p>
        </w:tc>
        <w:tc>
          <w:tcPr>
            <w:tcW w:w="1408" w:type="dxa"/>
          </w:tcPr>
          <w:p w14:paraId="5541A355" w14:textId="21EAAAD4" w:rsidR="006C4A5D" w:rsidRDefault="006A2F53">
            <w:hyperlink r:id="rId11" w:history="1">
              <w:r w:rsidR="004F25AC" w:rsidRPr="006A2F53">
                <w:rPr>
                  <w:rStyle w:val="Hyperlink"/>
                </w:rPr>
                <w:t>Malhotra &amp; Schmidt</w:t>
              </w:r>
            </w:hyperlink>
          </w:p>
        </w:tc>
        <w:tc>
          <w:tcPr>
            <w:tcW w:w="1112" w:type="dxa"/>
          </w:tcPr>
          <w:p w14:paraId="5223E7F1" w14:textId="7F34B271" w:rsidR="006C4A5D" w:rsidRDefault="004F25AC">
            <w:r>
              <w:t>566</w:t>
            </w:r>
          </w:p>
        </w:tc>
        <w:tc>
          <w:tcPr>
            <w:tcW w:w="1391" w:type="dxa"/>
          </w:tcPr>
          <w:p w14:paraId="4685F040" w14:textId="477207E2" w:rsidR="006C4A5D" w:rsidRDefault="00000000">
            <w:hyperlink r:id="rId12" w:history="1">
              <w:r w:rsidR="004F25AC" w:rsidRPr="004F25AC">
                <w:rPr>
                  <w:rStyle w:val="Hyperlink"/>
                </w:rPr>
                <w:t>NREL 2018</w:t>
              </w:r>
            </w:hyperlink>
          </w:p>
        </w:tc>
        <w:tc>
          <w:tcPr>
            <w:tcW w:w="1330" w:type="dxa"/>
          </w:tcPr>
          <w:p w14:paraId="1B5EB014" w14:textId="4B95FEE4" w:rsidR="006C4A5D" w:rsidRDefault="004F25AC">
            <w:r>
              <w:t>10</w:t>
            </w:r>
            <w:r w:rsidR="007762A3">
              <w:t>,</w:t>
            </w:r>
            <w:r>
              <w:t>782</w:t>
            </w:r>
            <w:r w:rsidR="007762A3">
              <w:t>,</w:t>
            </w:r>
            <w:r>
              <w:t>000</w:t>
            </w:r>
          </w:p>
        </w:tc>
        <w:tc>
          <w:tcPr>
            <w:tcW w:w="1182" w:type="dxa"/>
          </w:tcPr>
          <w:p w14:paraId="1A95A72A" w14:textId="7FBDF029" w:rsidR="006C4A5D" w:rsidRDefault="00000000">
            <w:hyperlink r:id="rId13" w:history="1">
              <w:r w:rsidR="004F25AC" w:rsidRPr="004F25AC">
                <w:rPr>
                  <w:rStyle w:val="Hyperlink"/>
                </w:rPr>
                <w:t>NREL 2018</w:t>
              </w:r>
            </w:hyperlink>
          </w:p>
        </w:tc>
      </w:tr>
      <w:tr w:rsidR="004F25AC" w14:paraId="2021BB80" w14:textId="77777777" w:rsidTr="00586D97">
        <w:tc>
          <w:tcPr>
            <w:tcW w:w="1916" w:type="dxa"/>
          </w:tcPr>
          <w:p w14:paraId="3A74019A" w14:textId="1668D05F" w:rsidR="006C4A5D" w:rsidRDefault="004F25AC">
            <w:r>
              <w:t>CSP</w:t>
            </w:r>
          </w:p>
        </w:tc>
        <w:tc>
          <w:tcPr>
            <w:tcW w:w="1011" w:type="dxa"/>
          </w:tcPr>
          <w:p w14:paraId="0F6E5547" w14:textId="27DFE58B" w:rsidR="006C4A5D" w:rsidRDefault="004F25AC">
            <w:r>
              <w:t>0.073</w:t>
            </w:r>
          </w:p>
        </w:tc>
        <w:tc>
          <w:tcPr>
            <w:tcW w:w="1408" w:type="dxa"/>
          </w:tcPr>
          <w:p w14:paraId="16CA4097" w14:textId="07654C72" w:rsidR="006C4A5D" w:rsidRDefault="006A2F53">
            <w:hyperlink r:id="rId14" w:history="1">
              <w:r w:rsidR="004F25AC" w:rsidRPr="006A2F53">
                <w:rPr>
                  <w:rStyle w:val="Hyperlink"/>
                </w:rPr>
                <w:t>Malhotra &amp; Schmidt</w:t>
              </w:r>
            </w:hyperlink>
          </w:p>
        </w:tc>
        <w:tc>
          <w:tcPr>
            <w:tcW w:w="1112" w:type="dxa"/>
          </w:tcPr>
          <w:p w14:paraId="681C9262" w14:textId="6FEF6F27" w:rsidR="006C4A5D" w:rsidRDefault="004F25AC">
            <w:r>
              <w:t>2270</w:t>
            </w:r>
          </w:p>
        </w:tc>
        <w:tc>
          <w:tcPr>
            <w:tcW w:w="1391" w:type="dxa"/>
          </w:tcPr>
          <w:p w14:paraId="2B2895EA" w14:textId="6161322E" w:rsidR="006C4A5D" w:rsidRDefault="004F25AC">
            <w:r>
              <w:t>GCAM (2015)</w:t>
            </w:r>
          </w:p>
        </w:tc>
        <w:tc>
          <w:tcPr>
            <w:tcW w:w="1330" w:type="dxa"/>
          </w:tcPr>
          <w:p w14:paraId="4F0C0374" w14:textId="40F24F75" w:rsidR="006C4A5D" w:rsidRDefault="004F25AC">
            <w:r>
              <w:t>1</w:t>
            </w:r>
            <w:r w:rsidR="007762A3">
              <w:t>,</w:t>
            </w:r>
            <w:r>
              <w:t>810</w:t>
            </w:r>
            <w:r w:rsidR="007762A3">
              <w:t>,</w:t>
            </w:r>
            <w:r>
              <w:t>800</w:t>
            </w:r>
          </w:p>
        </w:tc>
        <w:tc>
          <w:tcPr>
            <w:tcW w:w="1182" w:type="dxa"/>
          </w:tcPr>
          <w:p w14:paraId="1AED63FE" w14:textId="58AE56DE" w:rsidR="006C4A5D" w:rsidRDefault="00000000">
            <w:hyperlink r:id="rId15" w:history="1">
              <w:r w:rsidR="004F25AC" w:rsidRPr="004F25AC">
                <w:rPr>
                  <w:rStyle w:val="Hyperlink"/>
                </w:rPr>
                <w:t>CSP Guru</w:t>
              </w:r>
            </w:hyperlink>
          </w:p>
        </w:tc>
      </w:tr>
      <w:tr w:rsidR="004F25AC" w14:paraId="39343127" w14:textId="77777777" w:rsidTr="00586D97">
        <w:tc>
          <w:tcPr>
            <w:tcW w:w="1916" w:type="dxa"/>
          </w:tcPr>
          <w:p w14:paraId="4922E821" w14:textId="3F86F253" w:rsidR="006C4A5D" w:rsidRDefault="004F25AC">
            <w:r>
              <w:t>Onshore wind</w:t>
            </w:r>
          </w:p>
        </w:tc>
        <w:tc>
          <w:tcPr>
            <w:tcW w:w="1011" w:type="dxa"/>
          </w:tcPr>
          <w:p w14:paraId="5B301087" w14:textId="307635C3" w:rsidR="006C4A5D" w:rsidRDefault="004F25AC">
            <w:r>
              <w:t>0.152</w:t>
            </w:r>
          </w:p>
        </w:tc>
        <w:tc>
          <w:tcPr>
            <w:tcW w:w="1408" w:type="dxa"/>
          </w:tcPr>
          <w:p w14:paraId="5DF70360" w14:textId="2F821212" w:rsidR="006C4A5D" w:rsidRDefault="006A2F53">
            <w:hyperlink r:id="rId16" w:history="1">
              <w:r w:rsidR="004F25AC" w:rsidRPr="006A2F53">
                <w:rPr>
                  <w:rStyle w:val="Hyperlink"/>
                </w:rPr>
                <w:t>Malhotra &amp; Schmidt</w:t>
              </w:r>
            </w:hyperlink>
          </w:p>
        </w:tc>
        <w:tc>
          <w:tcPr>
            <w:tcW w:w="1112" w:type="dxa"/>
          </w:tcPr>
          <w:p w14:paraId="68496F23" w14:textId="6F7A751E" w:rsidR="006C4A5D" w:rsidRDefault="004F25AC">
            <w:r>
              <w:t>451</w:t>
            </w:r>
          </w:p>
        </w:tc>
        <w:tc>
          <w:tcPr>
            <w:tcW w:w="1391" w:type="dxa"/>
          </w:tcPr>
          <w:p w14:paraId="643975D1" w14:textId="1BB6E094" w:rsidR="006C4A5D" w:rsidRDefault="004F25AC">
            <w:r>
              <w:t>GCAM (2015)</w:t>
            </w:r>
          </w:p>
        </w:tc>
        <w:tc>
          <w:tcPr>
            <w:tcW w:w="1330" w:type="dxa"/>
          </w:tcPr>
          <w:p w14:paraId="0B69C68B" w14:textId="2E220169" w:rsidR="006C4A5D" w:rsidRDefault="004F25AC">
            <w:r>
              <w:t>55</w:t>
            </w:r>
            <w:r w:rsidR="007762A3">
              <w:t>,</w:t>
            </w:r>
            <w:r>
              <w:t>052</w:t>
            </w:r>
            <w:r w:rsidR="007762A3">
              <w:t>,</w:t>
            </w:r>
            <w:r>
              <w:t>083</w:t>
            </w:r>
          </w:p>
        </w:tc>
        <w:tc>
          <w:tcPr>
            <w:tcW w:w="1182" w:type="dxa"/>
          </w:tcPr>
          <w:p w14:paraId="73F28062" w14:textId="2A43F757" w:rsidR="006C4A5D" w:rsidRDefault="004F25AC">
            <w:r>
              <w:t>GCAM</w:t>
            </w:r>
          </w:p>
        </w:tc>
      </w:tr>
      <w:tr w:rsidR="004F25AC" w14:paraId="7747848E" w14:textId="77777777" w:rsidTr="00586D97">
        <w:tc>
          <w:tcPr>
            <w:tcW w:w="1916" w:type="dxa"/>
          </w:tcPr>
          <w:p w14:paraId="224E8142" w14:textId="0953C489" w:rsidR="006C4A5D" w:rsidRDefault="004F25AC">
            <w:r>
              <w:t>Offshore wind</w:t>
            </w:r>
          </w:p>
        </w:tc>
        <w:tc>
          <w:tcPr>
            <w:tcW w:w="1011" w:type="dxa"/>
          </w:tcPr>
          <w:p w14:paraId="38C17D85" w14:textId="7268BCB0" w:rsidR="006C4A5D" w:rsidRDefault="004F25AC">
            <w:r>
              <w:t>0.088</w:t>
            </w:r>
          </w:p>
        </w:tc>
        <w:tc>
          <w:tcPr>
            <w:tcW w:w="1408" w:type="dxa"/>
          </w:tcPr>
          <w:p w14:paraId="71F92829" w14:textId="39EA649A" w:rsidR="006C4A5D" w:rsidRDefault="00000000">
            <w:hyperlink r:id="rId17" w:history="1">
              <w:r w:rsidR="004F25AC" w:rsidRPr="004F25AC">
                <w:rPr>
                  <w:rStyle w:val="Hyperlink"/>
                </w:rPr>
                <w:t>NREL 2024</w:t>
              </w:r>
            </w:hyperlink>
          </w:p>
        </w:tc>
        <w:tc>
          <w:tcPr>
            <w:tcW w:w="1112" w:type="dxa"/>
          </w:tcPr>
          <w:p w14:paraId="7E86ACB8" w14:textId="5C947F9E" w:rsidR="006C4A5D" w:rsidRDefault="004F25AC">
            <w:r>
              <w:t>1118</w:t>
            </w:r>
          </w:p>
        </w:tc>
        <w:tc>
          <w:tcPr>
            <w:tcW w:w="1391" w:type="dxa"/>
          </w:tcPr>
          <w:p w14:paraId="0F9D0A8E" w14:textId="51D25D6A" w:rsidR="006C4A5D" w:rsidRDefault="004F25AC">
            <w:r>
              <w:t>GCAM (2015)</w:t>
            </w:r>
          </w:p>
        </w:tc>
        <w:tc>
          <w:tcPr>
            <w:tcW w:w="1330" w:type="dxa"/>
          </w:tcPr>
          <w:p w14:paraId="16AA98DE" w14:textId="3870BE0D" w:rsidR="006C4A5D" w:rsidRDefault="004F25AC">
            <w:r>
              <w:t>1</w:t>
            </w:r>
          </w:p>
        </w:tc>
        <w:tc>
          <w:tcPr>
            <w:tcW w:w="1182" w:type="dxa"/>
          </w:tcPr>
          <w:p w14:paraId="29B747BA" w14:textId="0C196E47" w:rsidR="006C4A5D" w:rsidRDefault="006A2F53">
            <w:r>
              <w:t xml:space="preserve">Assumed </w:t>
            </w:r>
            <w:r w:rsidR="004F25AC">
              <w:t>FOAK</w:t>
            </w:r>
          </w:p>
        </w:tc>
      </w:tr>
      <w:tr w:rsidR="004F25AC" w14:paraId="23C6F094" w14:textId="77777777" w:rsidTr="00586D97">
        <w:tc>
          <w:tcPr>
            <w:tcW w:w="1916" w:type="dxa"/>
          </w:tcPr>
          <w:p w14:paraId="0DB54190" w14:textId="62CADCEC" w:rsidR="006C4A5D" w:rsidRDefault="004F25AC">
            <w:r>
              <w:t>Grid storage</w:t>
            </w:r>
          </w:p>
        </w:tc>
        <w:tc>
          <w:tcPr>
            <w:tcW w:w="1011" w:type="dxa"/>
          </w:tcPr>
          <w:p w14:paraId="7DA0DC18" w14:textId="06A68D29" w:rsidR="006C4A5D" w:rsidRDefault="004F25AC">
            <w:r>
              <w:t>0.1</w:t>
            </w:r>
          </w:p>
        </w:tc>
        <w:tc>
          <w:tcPr>
            <w:tcW w:w="1408" w:type="dxa"/>
          </w:tcPr>
          <w:p w14:paraId="1F287A0F" w14:textId="6659C107" w:rsidR="006C4A5D" w:rsidRDefault="00000000">
            <w:hyperlink r:id="rId18" w:history="1">
              <w:r w:rsidR="004F25AC" w:rsidRPr="004F25AC">
                <w:rPr>
                  <w:rStyle w:val="Hyperlink"/>
                </w:rPr>
                <w:t>PNNL 2020</w:t>
              </w:r>
            </w:hyperlink>
          </w:p>
        </w:tc>
        <w:tc>
          <w:tcPr>
            <w:tcW w:w="1112" w:type="dxa"/>
          </w:tcPr>
          <w:p w14:paraId="6EDF564E" w14:textId="5E533473" w:rsidR="006C4A5D" w:rsidRDefault="004F25AC">
            <w:r>
              <w:t>1228</w:t>
            </w:r>
          </w:p>
        </w:tc>
        <w:tc>
          <w:tcPr>
            <w:tcW w:w="1391" w:type="dxa"/>
          </w:tcPr>
          <w:p w14:paraId="08FEEBC5" w14:textId="0E568892" w:rsidR="006C4A5D" w:rsidRDefault="004F25AC">
            <w:r>
              <w:t>GCAM (2015)</w:t>
            </w:r>
          </w:p>
        </w:tc>
        <w:tc>
          <w:tcPr>
            <w:tcW w:w="1330" w:type="dxa"/>
          </w:tcPr>
          <w:p w14:paraId="36A79ABE" w14:textId="6DDA0833" w:rsidR="006C4A5D" w:rsidRDefault="004F25AC">
            <w:r>
              <w:t>292</w:t>
            </w:r>
            <w:r w:rsidR="007762A3">
              <w:t>,</w:t>
            </w:r>
            <w:r>
              <w:t>000</w:t>
            </w:r>
          </w:p>
        </w:tc>
        <w:tc>
          <w:tcPr>
            <w:tcW w:w="1182" w:type="dxa"/>
          </w:tcPr>
          <w:p w14:paraId="56E82B03" w14:textId="08CD4ABD" w:rsidR="006C4A5D" w:rsidRDefault="004F25AC">
            <w:r>
              <w:t>EIA SEDS</w:t>
            </w:r>
          </w:p>
        </w:tc>
      </w:tr>
      <w:tr w:rsidR="007762A3" w14:paraId="09A6ECBC" w14:textId="77777777" w:rsidTr="00586D97">
        <w:tc>
          <w:tcPr>
            <w:tcW w:w="1916" w:type="dxa"/>
          </w:tcPr>
          <w:p w14:paraId="450E088B" w14:textId="48E24845" w:rsidR="004F25AC" w:rsidRDefault="004F25AC">
            <w:r>
              <w:t xml:space="preserve">Coal (conv </w:t>
            </w:r>
            <w:proofErr w:type="spellStart"/>
            <w:r>
              <w:t>pul</w:t>
            </w:r>
            <w:proofErr w:type="spellEnd"/>
            <w:r>
              <w:t xml:space="preserve"> CCS)</w:t>
            </w:r>
          </w:p>
        </w:tc>
        <w:tc>
          <w:tcPr>
            <w:tcW w:w="1011" w:type="dxa"/>
          </w:tcPr>
          <w:p w14:paraId="466AA10D" w14:textId="16A9AD43" w:rsidR="004F25AC" w:rsidRDefault="004F25AC">
            <w:r>
              <w:t>0.12</w:t>
            </w:r>
          </w:p>
        </w:tc>
        <w:tc>
          <w:tcPr>
            <w:tcW w:w="1408" w:type="dxa"/>
          </w:tcPr>
          <w:p w14:paraId="03B1406D" w14:textId="0E044020" w:rsidR="004F25AC" w:rsidRDefault="006A2F53">
            <w:hyperlink r:id="rId19" w:history="1">
              <w:r w:rsidR="004F25AC" w:rsidRPr="006A2F53">
                <w:rPr>
                  <w:rStyle w:val="Hyperlink"/>
                </w:rPr>
                <w:t>Rubin 2007</w:t>
              </w:r>
            </w:hyperlink>
          </w:p>
        </w:tc>
        <w:tc>
          <w:tcPr>
            <w:tcW w:w="1112" w:type="dxa"/>
          </w:tcPr>
          <w:p w14:paraId="42013AC3" w14:textId="6E61B35B" w:rsidR="004F25AC" w:rsidRDefault="004F25AC">
            <w:r>
              <w:t>540</w:t>
            </w:r>
          </w:p>
        </w:tc>
        <w:tc>
          <w:tcPr>
            <w:tcW w:w="1391" w:type="dxa"/>
          </w:tcPr>
          <w:p w14:paraId="44382847" w14:textId="15BAB82F" w:rsidR="004F25AC" w:rsidRDefault="004F25AC">
            <w:r>
              <w:t>GCAM (2020)</w:t>
            </w:r>
          </w:p>
        </w:tc>
        <w:tc>
          <w:tcPr>
            <w:tcW w:w="1330" w:type="dxa"/>
          </w:tcPr>
          <w:p w14:paraId="396DF2AD" w14:textId="5837D70E" w:rsidR="004F25AC" w:rsidRDefault="004F25AC">
            <w:r>
              <w:t>1</w:t>
            </w:r>
          </w:p>
        </w:tc>
        <w:tc>
          <w:tcPr>
            <w:tcW w:w="1182" w:type="dxa"/>
          </w:tcPr>
          <w:p w14:paraId="4A03AA3E" w14:textId="1FB68876" w:rsidR="004F25AC" w:rsidRDefault="006A2F53">
            <w:r>
              <w:t>Assumed</w:t>
            </w:r>
            <w:r>
              <w:t xml:space="preserve"> </w:t>
            </w:r>
            <w:r w:rsidR="004F25AC">
              <w:t>FOAK</w:t>
            </w:r>
          </w:p>
        </w:tc>
      </w:tr>
      <w:tr w:rsidR="007762A3" w14:paraId="76EA29DC" w14:textId="77777777" w:rsidTr="00586D97">
        <w:tc>
          <w:tcPr>
            <w:tcW w:w="1916" w:type="dxa"/>
          </w:tcPr>
          <w:p w14:paraId="492E4119" w14:textId="2DB9E302" w:rsidR="004F25AC" w:rsidRDefault="004F25AC">
            <w:r>
              <w:t>Coal (IGCC CCS)</w:t>
            </w:r>
          </w:p>
        </w:tc>
        <w:tc>
          <w:tcPr>
            <w:tcW w:w="1011" w:type="dxa"/>
          </w:tcPr>
          <w:p w14:paraId="0E842F68" w14:textId="4BA6A659" w:rsidR="004F25AC" w:rsidRDefault="004F25AC">
            <w:r>
              <w:t>0.12</w:t>
            </w:r>
          </w:p>
        </w:tc>
        <w:tc>
          <w:tcPr>
            <w:tcW w:w="1408" w:type="dxa"/>
          </w:tcPr>
          <w:p w14:paraId="001B5BA9" w14:textId="550EE7C7" w:rsidR="004F25AC" w:rsidRDefault="006A2F53">
            <w:hyperlink r:id="rId20" w:history="1">
              <w:r w:rsidR="004F25AC" w:rsidRPr="006A2F53">
                <w:rPr>
                  <w:rStyle w:val="Hyperlink"/>
                </w:rPr>
                <w:t>Rubin 2007</w:t>
              </w:r>
            </w:hyperlink>
          </w:p>
        </w:tc>
        <w:tc>
          <w:tcPr>
            <w:tcW w:w="1112" w:type="dxa"/>
          </w:tcPr>
          <w:p w14:paraId="349822AF" w14:textId="6CEE7669" w:rsidR="004F25AC" w:rsidRDefault="004F25AC">
            <w:r>
              <w:t>718</w:t>
            </w:r>
          </w:p>
        </w:tc>
        <w:tc>
          <w:tcPr>
            <w:tcW w:w="1391" w:type="dxa"/>
          </w:tcPr>
          <w:p w14:paraId="4B776792" w14:textId="28BB6FDA" w:rsidR="004F25AC" w:rsidRDefault="004F25AC">
            <w:r>
              <w:t>GCAM (2020)</w:t>
            </w:r>
          </w:p>
        </w:tc>
        <w:tc>
          <w:tcPr>
            <w:tcW w:w="1330" w:type="dxa"/>
          </w:tcPr>
          <w:p w14:paraId="3ECD25A7" w14:textId="71422839" w:rsidR="004F25AC" w:rsidRDefault="004F25AC">
            <w:r>
              <w:t>1</w:t>
            </w:r>
          </w:p>
        </w:tc>
        <w:tc>
          <w:tcPr>
            <w:tcW w:w="1182" w:type="dxa"/>
          </w:tcPr>
          <w:p w14:paraId="5F2A5ACC" w14:textId="0F934479" w:rsidR="004F25AC" w:rsidRDefault="006A2F53">
            <w:r>
              <w:t xml:space="preserve">Assumed </w:t>
            </w:r>
            <w:r w:rsidR="004F25AC">
              <w:t>FOAK</w:t>
            </w:r>
          </w:p>
        </w:tc>
      </w:tr>
      <w:tr w:rsidR="007762A3" w14:paraId="1B0F3E55" w14:textId="77777777" w:rsidTr="00586D97">
        <w:tc>
          <w:tcPr>
            <w:tcW w:w="1916" w:type="dxa"/>
          </w:tcPr>
          <w:p w14:paraId="105ECFEA" w14:textId="01AA43B1" w:rsidR="004F25AC" w:rsidRDefault="004F25AC">
            <w:r>
              <w:t>Gas (CC CCS)</w:t>
            </w:r>
          </w:p>
        </w:tc>
        <w:tc>
          <w:tcPr>
            <w:tcW w:w="1011" w:type="dxa"/>
          </w:tcPr>
          <w:p w14:paraId="205AF324" w14:textId="49D4DCF7" w:rsidR="004F25AC" w:rsidRDefault="004F25AC">
            <w:r>
              <w:t>0.12</w:t>
            </w:r>
          </w:p>
        </w:tc>
        <w:tc>
          <w:tcPr>
            <w:tcW w:w="1408" w:type="dxa"/>
          </w:tcPr>
          <w:p w14:paraId="5C2E6938" w14:textId="68989C52" w:rsidR="004F25AC" w:rsidRDefault="006A2F53">
            <w:hyperlink r:id="rId21" w:history="1">
              <w:r w:rsidR="004F25AC" w:rsidRPr="006A2F53">
                <w:rPr>
                  <w:rStyle w:val="Hyperlink"/>
                </w:rPr>
                <w:t>Rubin 2007</w:t>
              </w:r>
            </w:hyperlink>
          </w:p>
        </w:tc>
        <w:tc>
          <w:tcPr>
            <w:tcW w:w="1112" w:type="dxa"/>
          </w:tcPr>
          <w:p w14:paraId="7B876B92" w14:textId="5C73E8E7" w:rsidR="004F25AC" w:rsidRDefault="004F25AC">
            <w:r>
              <w:t>380</w:t>
            </w:r>
          </w:p>
        </w:tc>
        <w:tc>
          <w:tcPr>
            <w:tcW w:w="1391" w:type="dxa"/>
          </w:tcPr>
          <w:p w14:paraId="1536C544" w14:textId="39BEC022" w:rsidR="004F25AC" w:rsidRDefault="004F25AC">
            <w:r>
              <w:t>GCAM (2020)</w:t>
            </w:r>
          </w:p>
        </w:tc>
        <w:tc>
          <w:tcPr>
            <w:tcW w:w="1330" w:type="dxa"/>
          </w:tcPr>
          <w:p w14:paraId="713A73AD" w14:textId="120E0161" w:rsidR="004F25AC" w:rsidRDefault="004F25AC">
            <w:r>
              <w:t>1</w:t>
            </w:r>
          </w:p>
        </w:tc>
        <w:tc>
          <w:tcPr>
            <w:tcW w:w="1182" w:type="dxa"/>
          </w:tcPr>
          <w:p w14:paraId="6A74B9F8" w14:textId="389DDAAE" w:rsidR="004F25AC" w:rsidRDefault="006A2F53">
            <w:r>
              <w:t xml:space="preserve">Assumed </w:t>
            </w:r>
            <w:r w:rsidR="004F25AC">
              <w:t>FOAK</w:t>
            </w:r>
          </w:p>
        </w:tc>
      </w:tr>
      <w:tr w:rsidR="007762A3" w14:paraId="5E864039" w14:textId="77777777" w:rsidTr="00586D97">
        <w:tc>
          <w:tcPr>
            <w:tcW w:w="1916" w:type="dxa"/>
          </w:tcPr>
          <w:p w14:paraId="60DEDC2D" w14:textId="7DCADA21" w:rsidR="004F25AC" w:rsidRDefault="004F25AC">
            <w:r>
              <w:t>Nuclear</w:t>
            </w:r>
          </w:p>
        </w:tc>
        <w:tc>
          <w:tcPr>
            <w:tcW w:w="1011" w:type="dxa"/>
          </w:tcPr>
          <w:p w14:paraId="60B18B9A" w14:textId="13EC1788" w:rsidR="004F25AC" w:rsidRDefault="004F25AC">
            <w:r>
              <w:t>0.068</w:t>
            </w:r>
          </w:p>
        </w:tc>
        <w:tc>
          <w:tcPr>
            <w:tcW w:w="1408" w:type="dxa"/>
          </w:tcPr>
          <w:p w14:paraId="16458A4F" w14:textId="0AD06C16" w:rsidR="004F25AC" w:rsidRDefault="006A2F53">
            <w:hyperlink r:id="rId22" w:history="1">
              <w:r w:rsidR="004F25AC" w:rsidRPr="006A2F53">
                <w:rPr>
                  <w:rStyle w:val="Hyperlink"/>
                </w:rPr>
                <w:t>Malhotra &amp; Schmidt</w:t>
              </w:r>
            </w:hyperlink>
          </w:p>
        </w:tc>
        <w:tc>
          <w:tcPr>
            <w:tcW w:w="1112" w:type="dxa"/>
          </w:tcPr>
          <w:p w14:paraId="04D7B9BE" w14:textId="52D82935" w:rsidR="004F25AC" w:rsidRDefault="004F25AC">
            <w:r>
              <w:t>1703</w:t>
            </w:r>
          </w:p>
        </w:tc>
        <w:tc>
          <w:tcPr>
            <w:tcW w:w="1391" w:type="dxa"/>
          </w:tcPr>
          <w:p w14:paraId="62FD549C" w14:textId="28C21372" w:rsidR="004F25AC" w:rsidRDefault="004F25AC">
            <w:r>
              <w:t>GCAM (2015)</w:t>
            </w:r>
          </w:p>
        </w:tc>
        <w:tc>
          <w:tcPr>
            <w:tcW w:w="1330" w:type="dxa"/>
          </w:tcPr>
          <w:p w14:paraId="2BA3D36B" w14:textId="4227043A" w:rsidR="004F25AC" w:rsidRDefault="004F25AC">
            <w:r>
              <w:t>105</w:t>
            </w:r>
            <w:r w:rsidR="007762A3">
              <w:t>,</w:t>
            </w:r>
            <w:r>
              <w:t>264</w:t>
            </w:r>
            <w:r w:rsidR="007762A3">
              <w:t>,</w:t>
            </w:r>
            <w:r>
              <w:t>389</w:t>
            </w:r>
          </w:p>
        </w:tc>
        <w:tc>
          <w:tcPr>
            <w:tcW w:w="1182" w:type="dxa"/>
          </w:tcPr>
          <w:p w14:paraId="46F2752E" w14:textId="022BA94D" w:rsidR="004F25AC" w:rsidRDefault="004F25AC">
            <w:r>
              <w:t>GCAM</w:t>
            </w:r>
          </w:p>
        </w:tc>
      </w:tr>
    </w:tbl>
    <w:p w14:paraId="09EDD9CC" w14:textId="1F2A99B4" w:rsidR="0038666A" w:rsidRPr="00C03BB9" w:rsidRDefault="0038666A"/>
    <w:p w14:paraId="0C97D724" w14:textId="418CB4C6" w:rsidR="00955ACB" w:rsidRDefault="0038666A" w:rsidP="000C3F3C">
      <w:pPr>
        <w:pStyle w:val="Heading1"/>
      </w:pPr>
      <w:r w:rsidRPr="00A9261C">
        <w:t>Calibration</w:t>
      </w:r>
    </w:p>
    <w:p w14:paraId="27D419E3" w14:textId="258E19F3" w:rsidR="00A063C1" w:rsidRDefault="007F0FA8">
      <w:r>
        <w:t>T</w:t>
      </w:r>
      <w:r w:rsidRPr="007F0FA8">
        <w:t>he</w:t>
      </w:r>
      <w:r w:rsidR="00CA38C7">
        <w:t xml:space="preserve"> </w:t>
      </w:r>
      <w:r w:rsidR="00711FCF">
        <w:t>learning curves</w:t>
      </w:r>
      <w:r>
        <w:t xml:space="preserve"> </w:t>
      </w:r>
      <w:r w:rsidR="00CA38C7">
        <w:t>described above</w:t>
      </w:r>
      <w:r>
        <w:t xml:space="preserve"> only </w:t>
      </w:r>
      <w:proofErr w:type="gramStart"/>
      <w:r>
        <w:t>take into account</w:t>
      </w:r>
      <w:proofErr w:type="gramEnd"/>
      <w:r>
        <w:t xml:space="preserve"> learning by doing, and do not explicitly incorporate other components of technological change like research and development and spillovers. </w:t>
      </w:r>
      <w:r w:rsidR="00286B6F">
        <w:t xml:space="preserve">Therefore, it is helpful to </w:t>
      </w:r>
      <w:r w:rsidR="00CA38C7">
        <w:t>include</w:t>
      </w:r>
      <w:r w:rsidR="00286B6F">
        <w:t xml:space="preserve"> a</w:t>
      </w:r>
      <w:r w:rsidR="00A063C1">
        <w:t xml:space="preserve">n exogenous </w:t>
      </w:r>
      <w:r w:rsidR="00286B6F">
        <w:t xml:space="preserve">adjustment to account for </w:t>
      </w:r>
      <w:r w:rsidR="00A063C1">
        <w:t xml:space="preserve">these other factors. We do this by calibrating endogenous capital costs in the GCAM reference scenario to the NREL ATB cost projections, which are </w:t>
      </w:r>
      <w:r w:rsidR="00C34B87">
        <w:t>typically</w:t>
      </w:r>
      <w:r w:rsidR="00A063C1">
        <w:t xml:space="preserve"> used to exogenously set capital costs in GCAM. </w:t>
      </w:r>
      <w:r w:rsidR="00711FCF">
        <w:t xml:space="preserve">The ATB projections </w:t>
      </w:r>
      <w:proofErr w:type="gramStart"/>
      <w:r w:rsidR="00711FCF">
        <w:t>take into account</w:t>
      </w:r>
      <w:proofErr w:type="gramEnd"/>
      <w:r w:rsidR="00711FCF">
        <w:t xml:space="preserve"> all predicted technological change effects, so calibrating to the baseline ATB projection in the GCAM reference scenario allows us to capture the components of technological change not included in the learning by doing framework. </w:t>
      </w:r>
      <w:r w:rsidR="00C34B87">
        <w:t>The calibration process follows these steps:</w:t>
      </w:r>
    </w:p>
    <w:p w14:paraId="6E02B8E0" w14:textId="481A9871" w:rsidR="0038666A" w:rsidRDefault="00A063C1" w:rsidP="00A063C1">
      <w:pPr>
        <w:pStyle w:val="ListParagraph"/>
        <w:numPr>
          <w:ilvl w:val="0"/>
          <w:numId w:val="3"/>
        </w:numPr>
      </w:pPr>
      <w:r>
        <w:t>Run the GCAM reference scenario without endogenous technolog</w:t>
      </w:r>
      <w:r w:rsidR="00711FCF">
        <w:t>ical</w:t>
      </w:r>
      <w:r>
        <w:t xml:space="preserve"> change (i.e., with </w:t>
      </w:r>
      <w:r w:rsidR="00711FCF">
        <w:t xml:space="preserve">the default GCAM </w:t>
      </w:r>
      <w:r>
        <w:t>exogenous capital costs from the ATB)</w:t>
      </w:r>
    </w:p>
    <w:p w14:paraId="3C37C2E2" w14:textId="3BD5FEB1" w:rsidR="00A063C1" w:rsidRDefault="00C34B87" w:rsidP="00A063C1">
      <w:pPr>
        <w:pStyle w:val="ListParagraph"/>
        <w:numPr>
          <w:ilvl w:val="0"/>
          <w:numId w:val="3"/>
        </w:numPr>
      </w:pPr>
      <w:r>
        <w:t>Calculate</w:t>
      </w:r>
      <w:r w:rsidR="00A063C1">
        <w:t xml:space="preserve"> </w:t>
      </w:r>
      <w:r>
        <w:t>technologies’</w:t>
      </w:r>
      <w:r w:rsidR="00A063C1">
        <w:t xml:space="preserve"> cumulative deployment in each period </w:t>
      </w:r>
      <w:r>
        <w:t xml:space="preserve">using results from </w:t>
      </w:r>
      <w:r w:rsidR="00711FCF">
        <w:t>step 1.</w:t>
      </w:r>
      <w:r>
        <w:t xml:space="preserve"> Apply these cumulative deployment levels to the </w:t>
      </w:r>
      <w:r w:rsidR="00711FCF">
        <w:t>learning curves</w:t>
      </w:r>
      <w:r>
        <w:t xml:space="preserve"> described above.</w:t>
      </w:r>
    </w:p>
    <w:p w14:paraId="7F9E1A8D" w14:textId="0372F0FD" w:rsidR="00C34B87" w:rsidRDefault="00C34B87" w:rsidP="00A063C1">
      <w:pPr>
        <w:pStyle w:val="ListParagraph"/>
        <w:numPr>
          <w:ilvl w:val="0"/>
          <w:numId w:val="3"/>
        </w:numPr>
      </w:pPr>
      <w:r>
        <w:t xml:space="preserve">Derive a calibration adder for each technology in each period, defined as </w:t>
      </w:r>
      <w:r w:rsidR="00A063C1">
        <w:t xml:space="preserve">the </w:t>
      </w:r>
      <w:r>
        <w:t xml:space="preserve">difference between the endogenous </w:t>
      </w:r>
      <w:r w:rsidR="00A063C1">
        <w:t>capital costs</w:t>
      </w:r>
      <w:r>
        <w:t xml:space="preserve"> calculated in step 2</w:t>
      </w:r>
      <w:r w:rsidR="00A063C1">
        <w:t xml:space="preserve"> </w:t>
      </w:r>
      <w:r>
        <w:t>and</w:t>
      </w:r>
      <w:r w:rsidR="00A063C1">
        <w:t xml:space="preserve"> the </w:t>
      </w:r>
      <w:r w:rsidR="00711FCF">
        <w:t>default GCAM exogenous capital costs used in step 1</w:t>
      </w:r>
      <w:r w:rsidR="00A063C1">
        <w:t xml:space="preserve">. </w:t>
      </w:r>
    </w:p>
    <w:p w14:paraId="7873E686" w14:textId="172E5010" w:rsidR="00A063C1" w:rsidRDefault="00C34B87" w:rsidP="00A063C1">
      <w:pPr>
        <w:pStyle w:val="ListParagraph"/>
        <w:numPr>
          <w:ilvl w:val="0"/>
          <w:numId w:val="3"/>
        </w:numPr>
      </w:pPr>
      <w:r>
        <w:t>For subsequent</w:t>
      </w:r>
      <w:r w:rsidR="00C03BB9">
        <w:t xml:space="preserve"> GCAM runs with endogenous technology change</w:t>
      </w:r>
      <w:r>
        <w:t>, add the respective calibration adder to the endogenous capital cost calculated for each technology in each period</w:t>
      </w:r>
      <w:r w:rsidR="00C03BB9">
        <w:t>.</w:t>
      </w:r>
    </w:p>
    <w:p w14:paraId="515B5328" w14:textId="2372A226" w:rsidR="00C03BB9" w:rsidRPr="007F0FA8" w:rsidRDefault="00C03BB9" w:rsidP="00C03BB9">
      <w:r>
        <w:lastRenderedPageBreak/>
        <w:t>This process ensures that, when the reference scenario is run with endogenous technological change, the capital costs will remain the same as their default (ATB) values.</w:t>
      </w:r>
      <w:r w:rsidR="00711FCF">
        <w:t xml:space="preserve"> Thus, the reference scenario with exogenous technological change is identical to the reference scenario without exogenous technological change.</w:t>
      </w:r>
      <w:r>
        <w:t xml:space="preserve"> Note that the philosophy of this approach is analogous to the method of calibrating total factor productivity (TFP) when running GCAM with GDP </w:t>
      </w:r>
      <w:proofErr w:type="gramStart"/>
      <w:r>
        <w:t>feedbacks</w:t>
      </w:r>
      <w:proofErr w:type="gramEnd"/>
      <w:r>
        <w:t>, wherein TFP is calibrated based a reference scenario without GDP feedbacks, such that GDP matches some reference trajectory (e.g., SSP2) when feedbacks are turned on in the reference scenario.</w:t>
      </w:r>
    </w:p>
    <w:p w14:paraId="348621B7" w14:textId="77777777" w:rsidR="0038666A" w:rsidRDefault="0038666A">
      <w:pPr>
        <w:rPr>
          <w:b/>
          <w:bCs/>
        </w:rPr>
      </w:pPr>
    </w:p>
    <w:p w14:paraId="29BB910C" w14:textId="5F866C3A" w:rsidR="00AD2064" w:rsidRPr="00C33F5C" w:rsidRDefault="00C33F5C" w:rsidP="000C3F3C">
      <w:pPr>
        <w:pStyle w:val="Heading1"/>
      </w:pPr>
      <w:r w:rsidRPr="00C33F5C">
        <w:t xml:space="preserve">Overview of </w:t>
      </w:r>
      <w:proofErr w:type="spellStart"/>
      <w:r w:rsidRPr="00C33F5C">
        <w:t>gcamwrapper</w:t>
      </w:r>
      <w:proofErr w:type="spellEnd"/>
      <w:r w:rsidRPr="00C33F5C">
        <w:t xml:space="preserve"> workflow</w:t>
      </w:r>
    </w:p>
    <w:p w14:paraId="27F83D81" w14:textId="116AE786" w:rsidR="00A9261C" w:rsidRDefault="00C33F5C">
      <w:r>
        <w:t xml:space="preserve">We use </w:t>
      </w:r>
      <w:proofErr w:type="spellStart"/>
      <w:r>
        <w:t>gcamwrapper</w:t>
      </w:r>
      <w:proofErr w:type="spellEnd"/>
      <w:r>
        <w:t xml:space="preserve"> to endogenously update the costs of </w:t>
      </w:r>
      <w:r w:rsidR="0038666A">
        <w:t xml:space="preserve">power sector technologies between model periods to reflect ETC using the </w:t>
      </w:r>
      <w:r w:rsidR="00711FCF">
        <w:t>learning curves and calibration adders</w:t>
      </w:r>
      <w:r w:rsidR="0038666A">
        <w:t xml:space="preserve"> described above</w:t>
      </w:r>
      <w:r w:rsidR="00586D97">
        <w:t xml:space="preserve"> Figure 2)</w:t>
      </w:r>
      <w:r w:rsidR="0038666A">
        <w:t>. Starting with the base year, following each model period, we calculate cumulative capacity of each GCAM technology</w:t>
      </w:r>
      <w:r w:rsidR="00711FCF">
        <w:t xml:space="preserve"> of interest</w:t>
      </w:r>
      <w:r w:rsidR="0038666A">
        <w:t xml:space="preserve"> and map these capacities to the corresponding learning components as shown in </w:t>
      </w:r>
      <w:r w:rsidR="00711FCF">
        <w:t>F</w:t>
      </w:r>
      <w:r w:rsidR="0038666A">
        <w:t xml:space="preserve">igure 1. </w:t>
      </w:r>
      <w:r w:rsidR="00711FCF">
        <w:t xml:space="preserve">Then, we apply the learning curve (Wright’s law) to the total cumulative capacity associated with each learning component using the parameters in Table 1. We aggregate the resulting learning component capital costs back to the corresponding GCAM technologies using the mappings in Figure 1, and we apply the </w:t>
      </w:r>
      <w:r w:rsidR="00586D97">
        <w:t>appropriate calibration adder to each technology. Finally, we use the resulting adjusted capital costs to update the capital costs of GCAM technologies for the next period.</w:t>
      </w:r>
    </w:p>
    <w:p w14:paraId="6BAF4829" w14:textId="77777777" w:rsidR="00586D97" w:rsidRDefault="00586D97" w:rsidP="00586D97">
      <w:pPr>
        <w:keepNext/>
      </w:pPr>
      <w:r>
        <w:rPr>
          <w:noProof/>
        </w:rPr>
        <w:drawing>
          <wp:inline distT="0" distB="0" distL="0" distR="0" wp14:anchorId="453A0575" wp14:editId="5A0178C2">
            <wp:extent cx="5943600" cy="2931795"/>
            <wp:effectExtent l="0" t="0" r="0" b="1905"/>
            <wp:docPr id="47263980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39806" name="Picture 1"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inline>
        </w:drawing>
      </w:r>
    </w:p>
    <w:p w14:paraId="7CF7CD95" w14:textId="5E0B600A" w:rsidR="00586D97" w:rsidRDefault="00586D97" w:rsidP="00586D9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Workflow implemented in </w:t>
      </w:r>
      <w:proofErr w:type="spellStart"/>
      <w:r>
        <w:t>gcamwrapper</w:t>
      </w:r>
      <w:proofErr w:type="spellEnd"/>
      <w:r>
        <w:t xml:space="preserve"> to endogenously update capital costs of GCAM technologies.</w:t>
      </w:r>
    </w:p>
    <w:p w14:paraId="71E2F461" w14:textId="77777777" w:rsidR="00586D97" w:rsidRPr="00586D97" w:rsidRDefault="00586D97" w:rsidP="00586D97"/>
    <w:p w14:paraId="549281A7" w14:textId="461BD934" w:rsidR="00FA2800" w:rsidRPr="00892F8C" w:rsidRDefault="00586D97" w:rsidP="00892F8C">
      <w:pPr>
        <w:pStyle w:val="Heading2"/>
      </w:pPr>
      <w:proofErr w:type="spellStart"/>
      <w:r w:rsidRPr="00892F8C">
        <w:lastRenderedPageBreak/>
        <w:t>gcamwrapper</w:t>
      </w:r>
      <w:proofErr w:type="spellEnd"/>
      <w:r w:rsidRPr="00892F8C">
        <w:t xml:space="preserve"> w</w:t>
      </w:r>
      <w:r w:rsidR="001565E8" w:rsidRPr="00892F8C">
        <w:t>orkflow parameters</w:t>
      </w:r>
    </w:p>
    <w:p w14:paraId="7D66D519" w14:textId="5A5667D5" w:rsidR="00864223" w:rsidRPr="00892F8C" w:rsidRDefault="008B27AD" w:rsidP="00892F8C">
      <w:pPr>
        <w:pStyle w:val="Heading3"/>
        <w:rPr>
          <w:i/>
          <w:iCs/>
        </w:rPr>
      </w:pPr>
      <w:r w:rsidRPr="00892F8C">
        <w:t>Exogenous</w:t>
      </w:r>
      <w:r w:rsidRPr="00892F8C">
        <w:rPr>
          <w:i/>
          <w:iCs/>
        </w:rPr>
        <w:t xml:space="preserve"> i</w:t>
      </w:r>
      <w:r w:rsidR="00304F57" w:rsidRPr="00892F8C">
        <w:rPr>
          <w:i/>
          <w:iCs/>
        </w:rPr>
        <w:t>nputs</w:t>
      </w:r>
    </w:p>
    <w:p w14:paraId="7E841915" w14:textId="6C189283" w:rsidR="00304F57" w:rsidRDefault="00304F57" w:rsidP="00304F57">
      <w:pPr>
        <w:pStyle w:val="ListParagraph"/>
        <w:numPr>
          <w:ilvl w:val="0"/>
          <w:numId w:val="1"/>
        </w:numPr>
      </w:pPr>
      <w:r>
        <w:t xml:space="preserve">t0_cost_deployment: For each </w:t>
      </w:r>
      <w:r w:rsidR="00FA2800">
        <w:t>learning component</w:t>
      </w:r>
      <w:r>
        <w:t>, the cost (1975$) and deployment (</w:t>
      </w:r>
      <w:r w:rsidR="00FA2800">
        <w:t xml:space="preserve">kW) in the reference year (2015). For technologies that were not yet deployed in the reference year (e.g., CCS), the deployment is set to 1, i.e., and the cost is the assumed FOAK cost. </w:t>
      </w:r>
      <w:r w:rsidR="00586D97">
        <w:t>See Table 1.</w:t>
      </w:r>
    </w:p>
    <w:p w14:paraId="0C7E40A7" w14:textId="2690F42C" w:rsidR="00FA2800" w:rsidRDefault="00FA2800" w:rsidP="00304F57">
      <w:pPr>
        <w:pStyle w:val="ListParagraph"/>
        <w:numPr>
          <w:ilvl w:val="0"/>
          <w:numId w:val="1"/>
        </w:numPr>
      </w:pPr>
      <w:proofErr w:type="spellStart"/>
      <w:r>
        <w:t>learning_rates</w:t>
      </w:r>
      <w:proofErr w:type="spellEnd"/>
      <w:r>
        <w:t>: assumed learning rate (r) for each learning component</w:t>
      </w:r>
      <w:r w:rsidR="00586D97">
        <w:t>. See Table 1.</w:t>
      </w:r>
    </w:p>
    <w:p w14:paraId="59ACE325" w14:textId="08012A05" w:rsidR="00FA2800" w:rsidRDefault="00FA2800" w:rsidP="00304F57">
      <w:pPr>
        <w:pStyle w:val="ListParagraph"/>
        <w:numPr>
          <w:ilvl w:val="0"/>
          <w:numId w:val="1"/>
        </w:numPr>
      </w:pPr>
      <w:proofErr w:type="spellStart"/>
      <w:r>
        <w:t>tech_FCR</w:t>
      </w:r>
      <w:proofErr w:type="spellEnd"/>
      <w:r>
        <w:t>: fixed charge rates (FCR) for GCAM technologies (note: this is a GCAM input). Used for converting between levelized and capital costs.</w:t>
      </w:r>
    </w:p>
    <w:p w14:paraId="7E284B16" w14:textId="7082829A" w:rsidR="00B45282" w:rsidRDefault="00B45282" w:rsidP="00B45282">
      <w:pPr>
        <w:pStyle w:val="ListParagraph"/>
        <w:numPr>
          <w:ilvl w:val="0"/>
          <w:numId w:val="1"/>
        </w:numPr>
      </w:pPr>
      <w:proofErr w:type="spellStart"/>
      <w:r>
        <w:t>non_learning_capital</w:t>
      </w:r>
      <w:proofErr w:type="spellEnd"/>
      <w:r>
        <w:t xml:space="preserve">: GCAM technologies’ remaining capital costs that are not included in learning components. Currently, these consist of storage capital for </w:t>
      </w:r>
      <w:proofErr w:type="spellStart"/>
      <w:r>
        <w:t>CSP_storage</w:t>
      </w:r>
      <w:proofErr w:type="spellEnd"/>
      <w:r>
        <w:t xml:space="preserve"> and non-CCS capital for coal and gas CCS technologies. They are based on the capital costs of the GCAM technologies without the respective learning component (e.g., the non-learning capital for the </w:t>
      </w:r>
      <w:r w:rsidR="00586D97">
        <w:t>gas combined cycle</w:t>
      </w:r>
      <w:r>
        <w:t xml:space="preserve"> with CCS technology is the capital cost of the gas </w:t>
      </w:r>
      <w:r w:rsidR="00586D97">
        <w:t>combined cycle</w:t>
      </w:r>
      <w:r>
        <w:t xml:space="preserve"> technology). Note that eventually, the goal </w:t>
      </w:r>
      <w:r w:rsidR="00586D97">
        <w:t>is</w:t>
      </w:r>
      <w:r>
        <w:t xml:space="preserve"> to represent learning on all components of technologies</w:t>
      </w:r>
      <w:r w:rsidR="00586D97">
        <w:t>, at which point</w:t>
      </w:r>
      <w:r>
        <w:t xml:space="preserve"> this input </w:t>
      </w:r>
      <w:r w:rsidR="00586D97">
        <w:t>will</w:t>
      </w:r>
      <w:r>
        <w:t xml:space="preserve"> no longer be necessary.</w:t>
      </w:r>
    </w:p>
    <w:p w14:paraId="303641ED" w14:textId="49FB6F01" w:rsidR="00FA2800" w:rsidRPr="00892F8C" w:rsidRDefault="00FA2800" w:rsidP="00892F8C">
      <w:pPr>
        <w:pStyle w:val="Heading3"/>
      </w:pPr>
      <w:r w:rsidRPr="00892F8C">
        <w:t>Mappings</w:t>
      </w:r>
    </w:p>
    <w:p w14:paraId="1B69B77F" w14:textId="5BCF3F67" w:rsidR="00FA2800" w:rsidRDefault="00FA2800" w:rsidP="008B27AD">
      <w:pPr>
        <w:pStyle w:val="ListParagraph"/>
        <w:numPr>
          <w:ilvl w:val="0"/>
          <w:numId w:val="1"/>
        </w:numPr>
      </w:pPr>
      <w:proofErr w:type="spellStart"/>
      <w:r>
        <w:t>cooling_tech_map</w:t>
      </w:r>
      <w:proofErr w:type="spellEnd"/>
      <w:r>
        <w:t>: maps cooling tech</w:t>
      </w:r>
      <w:r w:rsidR="006B22ED">
        <w:t>-level electricity technologies to their corresponding</w:t>
      </w:r>
      <w:r>
        <w:t xml:space="preserve"> pass thru </w:t>
      </w:r>
      <w:r w:rsidR="006B22ED">
        <w:t>technologies in the electricity sector. Used to aggregate electricity generation from different cooling tech level technologies when calculating cumulative capacities.</w:t>
      </w:r>
    </w:p>
    <w:p w14:paraId="3ED93860" w14:textId="6CF40059" w:rsidR="006B22ED" w:rsidRDefault="006B22ED" w:rsidP="008B27AD">
      <w:pPr>
        <w:pStyle w:val="ListParagraph"/>
        <w:numPr>
          <w:ilvl w:val="0"/>
          <w:numId w:val="1"/>
        </w:numPr>
      </w:pPr>
      <w:proofErr w:type="spellStart"/>
      <w:r>
        <w:t>learning_components_deployment_map</w:t>
      </w:r>
      <w:proofErr w:type="spellEnd"/>
      <w:r>
        <w:t xml:space="preserve">: Used to determine the </w:t>
      </w:r>
      <w:r w:rsidR="008B27AD">
        <w:t xml:space="preserve">GCAM </w:t>
      </w:r>
      <w:r>
        <w:t>technologies whose cumulative deployment contribute</w:t>
      </w:r>
      <w:r w:rsidR="00586D97">
        <w:t>s</w:t>
      </w:r>
      <w:r>
        <w:t xml:space="preserve"> to learning for each learning component</w:t>
      </w:r>
      <w:r w:rsidR="00586D97">
        <w:t xml:space="preserve"> (see the left side of Figure 1)</w:t>
      </w:r>
      <w:r>
        <w:t xml:space="preserve">. A single technology can contribute to multiple learning components (e.g., </w:t>
      </w:r>
      <w:r w:rsidR="008B27AD">
        <w:t xml:space="preserve">cumulative deployment of </w:t>
      </w:r>
      <w:proofErr w:type="spellStart"/>
      <w:r w:rsidR="008B27AD">
        <w:t>PV_storage</w:t>
      </w:r>
      <w:proofErr w:type="spellEnd"/>
      <w:r w:rsidR="008B27AD">
        <w:t xml:space="preserve"> contributes to learning for PV module, utility PV BOS, and grid storage). A </w:t>
      </w:r>
      <w:r>
        <w:t xml:space="preserve">single learning component can incorporate contributions from multiple technologies (e.g., grid storage learns from the cumulative deployment of </w:t>
      </w:r>
      <w:proofErr w:type="spellStart"/>
      <w:r>
        <w:t>PV_storage</w:t>
      </w:r>
      <w:proofErr w:type="spellEnd"/>
      <w:r>
        <w:t xml:space="preserve"> and </w:t>
      </w:r>
      <w:proofErr w:type="spellStart"/>
      <w:r>
        <w:t>wind_storage</w:t>
      </w:r>
      <w:proofErr w:type="spellEnd"/>
      <w:r>
        <w:t xml:space="preserve"> combined).</w:t>
      </w:r>
    </w:p>
    <w:p w14:paraId="32F20F49" w14:textId="4229B995" w:rsidR="006B22ED" w:rsidRDefault="006B22ED" w:rsidP="008B27AD">
      <w:pPr>
        <w:pStyle w:val="ListParagraph"/>
        <w:numPr>
          <w:ilvl w:val="0"/>
          <w:numId w:val="1"/>
        </w:numPr>
      </w:pPr>
      <w:proofErr w:type="spellStart"/>
      <w:r>
        <w:t>learning_components_learning_map</w:t>
      </w:r>
      <w:proofErr w:type="spellEnd"/>
      <w:r>
        <w:t xml:space="preserve">: Used to determine the technologies whose endogenous </w:t>
      </w:r>
      <w:r w:rsidR="00586D97">
        <w:t xml:space="preserve">capital </w:t>
      </w:r>
      <w:r>
        <w:t>costs are impacted by learning occurring for each learning component</w:t>
      </w:r>
      <w:r w:rsidR="00586D97">
        <w:t xml:space="preserve"> (see the right side of Figure 1)</w:t>
      </w:r>
      <w:r>
        <w:t xml:space="preserve">. </w:t>
      </w:r>
    </w:p>
    <w:p w14:paraId="330DC846" w14:textId="28E591D2" w:rsidR="008B27AD" w:rsidRPr="00892F8C" w:rsidRDefault="00067CF3" w:rsidP="00892F8C">
      <w:pPr>
        <w:pStyle w:val="Heading3"/>
      </w:pPr>
      <w:r w:rsidRPr="00892F8C">
        <w:t>Calibrated inputs</w:t>
      </w:r>
    </w:p>
    <w:p w14:paraId="3C75B5E5" w14:textId="57696983" w:rsidR="008B27AD" w:rsidRDefault="008B27AD" w:rsidP="008B27AD">
      <w:pPr>
        <w:pStyle w:val="ListParagraph"/>
        <w:numPr>
          <w:ilvl w:val="0"/>
          <w:numId w:val="2"/>
        </w:numPr>
      </w:pPr>
      <w:proofErr w:type="spellStart"/>
      <w:r>
        <w:t>cal_adders</w:t>
      </w:r>
      <w:proofErr w:type="spellEnd"/>
      <w:r>
        <w:t xml:space="preserve">: </w:t>
      </w:r>
      <w:r w:rsidR="00067CF3">
        <w:t>adders to calibrate capital costs in the reference scenario to a reference cost trajectory</w:t>
      </w:r>
      <w:r w:rsidR="001B78BE">
        <w:t xml:space="preserve"> (see section 3)</w:t>
      </w:r>
      <w:r w:rsidR="00067CF3">
        <w:t xml:space="preserve">. When running scenarios with ETC using </w:t>
      </w:r>
      <w:proofErr w:type="spellStart"/>
      <w:r w:rsidR="00067CF3">
        <w:t>gcamwrapper</w:t>
      </w:r>
      <w:proofErr w:type="spellEnd"/>
      <w:r w:rsidR="00067CF3">
        <w:t xml:space="preserve">, these calibrated adders are added to the endogenous costs. </w:t>
      </w:r>
    </w:p>
    <w:sectPr w:rsidR="008B2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593"/>
    <w:multiLevelType w:val="hybridMultilevel"/>
    <w:tmpl w:val="6592E76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8DA12D8"/>
    <w:multiLevelType w:val="hybridMultilevel"/>
    <w:tmpl w:val="539C1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C3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E3369A"/>
    <w:multiLevelType w:val="multilevel"/>
    <w:tmpl w:val="242E4A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2204ACD"/>
    <w:multiLevelType w:val="multilevel"/>
    <w:tmpl w:val="FCFA94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627DCB"/>
    <w:multiLevelType w:val="hybridMultilevel"/>
    <w:tmpl w:val="49AC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116549">
    <w:abstractNumId w:val="5"/>
  </w:num>
  <w:num w:numId="2" w16cid:durableId="1258244821">
    <w:abstractNumId w:val="1"/>
  </w:num>
  <w:num w:numId="3" w16cid:durableId="1699505088">
    <w:abstractNumId w:val="0"/>
  </w:num>
  <w:num w:numId="4" w16cid:durableId="980498801">
    <w:abstractNumId w:val="4"/>
  </w:num>
  <w:num w:numId="5" w16cid:durableId="1125886">
    <w:abstractNumId w:val="2"/>
  </w:num>
  <w:num w:numId="6" w16cid:durableId="1051461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CC"/>
    <w:rsid w:val="000438E9"/>
    <w:rsid w:val="00067CF3"/>
    <w:rsid w:val="000938CC"/>
    <w:rsid w:val="000C3F3C"/>
    <w:rsid w:val="001565E8"/>
    <w:rsid w:val="001B78BE"/>
    <w:rsid w:val="002334AC"/>
    <w:rsid w:val="00286B6F"/>
    <w:rsid w:val="002E7553"/>
    <w:rsid w:val="00304F57"/>
    <w:rsid w:val="003175E0"/>
    <w:rsid w:val="003420B2"/>
    <w:rsid w:val="0038666A"/>
    <w:rsid w:val="004F25AC"/>
    <w:rsid w:val="00586D97"/>
    <w:rsid w:val="005A496E"/>
    <w:rsid w:val="00632C90"/>
    <w:rsid w:val="006555B9"/>
    <w:rsid w:val="00661075"/>
    <w:rsid w:val="0066295B"/>
    <w:rsid w:val="006A2F53"/>
    <w:rsid w:val="006B22ED"/>
    <w:rsid w:val="006C4A5D"/>
    <w:rsid w:val="00711FCF"/>
    <w:rsid w:val="00757147"/>
    <w:rsid w:val="007762A3"/>
    <w:rsid w:val="007F0FA8"/>
    <w:rsid w:val="007F2F65"/>
    <w:rsid w:val="00864223"/>
    <w:rsid w:val="0088123D"/>
    <w:rsid w:val="00892F8C"/>
    <w:rsid w:val="008B27AD"/>
    <w:rsid w:val="00912C87"/>
    <w:rsid w:val="009509B9"/>
    <w:rsid w:val="00955ACB"/>
    <w:rsid w:val="009620EC"/>
    <w:rsid w:val="009D7434"/>
    <w:rsid w:val="00A063C1"/>
    <w:rsid w:val="00A9261C"/>
    <w:rsid w:val="00A92940"/>
    <w:rsid w:val="00AD2064"/>
    <w:rsid w:val="00B17405"/>
    <w:rsid w:val="00B45282"/>
    <w:rsid w:val="00C03BB9"/>
    <w:rsid w:val="00C33F5C"/>
    <w:rsid w:val="00C34B87"/>
    <w:rsid w:val="00C9377D"/>
    <w:rsid w:val="00CA38C7"/>
    <w:rsid w:val="00E01E94"/>
    <w:rsid w:val="00F055A6"/>
    <w:rsid w:val="00FA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6ABA"/>
  <w15:chartTrackingRefBased/>
  <w15:docId w15:val="{767A6581-2C24-40E2-96A1-FEC1FE10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3C"/>
    <w:pPr>
      <w:keepNext/>
      <w:keepLines/>
      <w:numPr>
        <w:numId w:val="6"/>
      </w:numPr>
      <w:spacing w:before="240" w:after="240"/>
      <w:outlineLvl w:val="0"/>
    </w:pPr>
    <w:rPr>
      <w:rFonts w:asciiTheme="majorHAnsi" w:eastAsiaTheme="majorEastAsia" w:hAnsiTheme="majorHAnsi" w:cstheme="majorBidi"/>
      <w:b/>
      <w:bCs/>
      <w:sz w:val="24"/>
      <w:szCs w:val="24"/>
    </w:rPr>
  </w:style>
  <w:style w:type="paragraph" w:styleId="Heading2">
    <w:name w:val="heading 2"/>
    <w:basedOn w:val="Normal"/>
    <w:next w:val="Normal"/>
    <w:link w:val="Heading2Char"/>
    <w:uiPriority w:val="9"/>
    <w:unhideWhenUsed/>
    <w:qFormat/>
    <w:rsid w:val="00892F8C"/>
    <w:pPr>
      <w:keepNext/>
      <w:keepLines/>
      <w:numPr>
        <w:ilvl w:val="1"/>
        <w:numId w:val="6"/>
      </w:numPr>
      <w:spacing w:before="40" w:after="240"/>
      <w:outlineLvl w:val="1"/>
    </w:pPr>
    <w:rPr>
      <w:rFonts w:asciiTheme="majorHAnsi" w:eastAsiaTheme="majorEastAsia" w:hAnsiTheme="majorHAnsi" w:cstheme="majorBidi"/>
      <w:i/>
      <w:iCs/>
      <w:sz w:val="24"/>
      <w:szCs w:val="24"/>
    </w:rPr>
  </w:style>
  <w:style w:type="paragraph" w:styleId="Heading3">
    <w:name w:val="heading 3"/>
    <w:basedOn w:val="Normal"/>
    <w:next w:val="Normal"/>
    <w:link w:val="Heading3Char"/>
    <w:uiPriority w:val="9"/>
    <w:unhideWhenUsed/>
    <w:qFormat/>
    <w:rsid w:val="00892F8C"/>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C3F3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3F3C"/>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3F3C"/>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3F3C"/>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3F3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3F3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F57"/>
    <w:pPr>
      <w:ind w:left="720"/>
      <w:contextualSpacing/>
    </w:pPr>
  </w:style>
  <w:style w:type="table" w:styleId="TableGrid">
    <w:name w:val="Table Grid"/>
    <w:basedOn w:val="TableNormal"/>
    <w:uiPriority w:val="39"/>
    <w:rsid w:val="00FA2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377D"/>
    <w:rPr>
      <w:color w:val="666666"/>
    </w:rPr>
  </w:style>
  <w:style w:type="character" w:styleId="Hyperlink">
    <w:name w:val="Hyperlink"/>
    <w:basedOn w:val="DefaultParagraphFont"/>
    <w:uiPriority w:val="99"/>
    <w:unhideWhenUsed/>
    <w:rsid w:val="004F25AC"/>
    <w:rPr>
      <w:color w:val="0563C1" w:themeColor="hyperlink"/>
      <w:u w:val="single"/>
    </w:rPr>
  </w:style>
  <w:style w:type="character" w:styleId="UnresolvedMention">
    <w:name w:val="Unresolved Mention"/>
    <w:basedOn w:val="DefaultParagraphFont"/>
    <w:uiPriority w:val="99"/>
    <w:semiHidden/>
    <w:unhideWhenUsed/>
    <w:rsid w:val="004F25AC"/>
    <w:rPr>
      <w:color w:val="605E5C"/>
      <w:shd w:val="clear" w:color="auto" w:fill="E1DFDD"/>
    </w:rPr>
  </w:style>
  <w:style w:type="paragraph" w:styleId="Caption">
    <w:name w:val="caption"/>
    <w:basedOn w:val="Normal"/>
    <w:next w:val="Normal"/>
    <w:uiPriority w:val="35"/>
    <w:unhideWhenUsed/>
    <w:qFormat/>
    <w:rsid w:val="00586D9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C3F3C"/>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892F8C"/>
    <w:rPr>
      <w:rFonts w:asciiTheme="majorHAnsi" w:eastAsiaTheme="majorEastAsia" w:hAnsiTheme="majorHAnsi" w:cstheme="majorBidi"/>
      <w:i/>
      <w:iCs/>
      <w:sz w:val="24"/>
      <w:szCs w:val="24"/>
    </w:rPr>
  </w:style>
  <w:style w:type="character" w:customStyle="1" w:styleId="Heading3Char">
    <w:name w:val="Heading 3 Char"/>
    <w:basedOn w:val="DefaultParagraphFont"/>
    <w:link w:val="Heading3"/>
    <w:uiPriority w:val="9"/>
    <w:rsid w:val="00892F8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C3F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3F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3F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3F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3F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3F3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rel.gov/submissions/103" TargetMode="External"/><Relationship Id="rId13" Type="http://schemas.openxmlformats.org/officeDocument/2006/relationships/hyperlink" Target="https://data.nrel.gov/submissions/103" TargetMode="External"/><Relationship Id="rId18" Type="http://schemas.openxmlformats.org/officeDocument/2006/relationships/hyperlink" Target="https://www.pnnl.gov/sites/default/files/media/file/Final%20-%20ESGC%20Cost%20Performance%20Report%2012-11-2020.pdf" TargetMode="External"/><Relationship Id="rId3" Type="http://schemas.openxmlformats.org/officeDocument/2006/relationships/settings" Target="settings.xml"/><Relationship Id="rId21" Type="http://schemas.openxmlformats.org/officeDocument/2006/relationships/hyperlink" Target="https://ieaghg.org/publications/estimating-the-future-trends-in-the-cost-of-co2-capture-technologies/" TargetMode="External"/><Relationship Id="rId7" Type="http://schemas.openxmlformats.org/officeDocument/2006/relationships/hyperlink" Target="https://data.nrel.gov/submissions/103" TargetMode="External"/><Relationship Id="rId12" Type="http://schemas.openxmlformats.org/officeDocument/2006/relationships/hyperlink" Target="https://data.nrel.gov/submissions/103" TargetMode="External"/><Relationship Id="rId17" Type="http://schemas.openxmlformats.org/officeDocument/2006/relationships/hyperlink" Target="https://www.nrel.gov/docs/fy24osti/88988.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joule.2020.09.004" TargetMode="External"/><Relationship Id="rId20" Type="http://schemas.openxmlformats.org/officeDocument/2006/relationships/hyperlink" Target="https://ieaghg.org/publications/estimating-the-future-trends-in-the-cost-of-co2-capture-technologies/" TargetMode="External"/><Relationship Id="rId1" Type="http://schemas.openxmlformats.org/officeDocument/2006/relationships/numbering" Target="numbering.xml"/><Relationship Id="rId6" Type="http://schemas.openxmlformats.org/officeDocument/2006/relationships/hyperlink" Target="https://doi.org/10.1016/j.joule.2020.09.004" TargetMode="External"/><Relationship Id="rId11" Type="http://schemas.openxmlformats.org/officeDocument/2006/relationships/hyperlink" Target="https://doi.org/10.1016/j.joule.2020.09.004"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zenodo.org/records/8191855" TargetMode="External"/><Relationship Id="rId23" Type="http://schemas.openxmlformats.org/officeDocument/2006/relationships/image" Target="media/image2.png"/><Relationship Id="rId10" Type="http://schemas.openxmlformats.org/officeDocument/2006/relationships/hyperlink" Target="https://data.nrel.gov/submissions/103" TargetMode="External"/><Relationship Id="rId19" Type="http://schemas.openxmlformats.org/officeDocument/2006/relationships/hyperlink" Target="https://ieaghg.org/publications/estimating-the-future-trends-in-the-cost-of-co2-capture-technologies/" TargetMode="External"/><Relationship Id="rId4" Type="http://schemas.openxmlformats.org/officeDocument/2006/relationships/webSettings" Target="webSettings.xml"/><Relationship Id="rId9" Type="http://schemas.openxmlformats.org/officeDocument/2006/relationships/hyperlink" Target="https://data.nrel.gov/submissions/103" TargetMode="External"/><Relationship Id="rId14" Type="http://schemas.openxmlformats.org/officeDocument/2006/relationships/hyperlink" Target="https://doi.org/10.1016/j.joule.2020.09.004" TargetMode="External"/><Relationship Id="rId22" Type="http://schemas.openxmlformats.org/officeDocument/2006/relationships/hyperlink" Target="https://doi.org/10.1016/j.joule.2020.09.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2575</TotalTime>
  <Pages>5</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Waite, Taryn R</dc:creator>
  <cp:keywords/>
  <dc:description/>
  <cp:lastModifiedBy>Waite, Taryn R</cp:lastModifiedBy>
  <cp:revision>17</cp:revision>
  <dcterms:created xsi:type="dcterms:W3CDTF">2025-01-23T15:25:00Z</dcterms:created>
  <dcterms:modified xsi:type="dcterms:W3CDTF">2025-02-17T17:11:00Z</dcterms:modified>
</cp:coreProperties>
</file>