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803303" w:sz="6" w:space="4"/>
          <w:left w:val="single" w:color="803303" w:sz="6" w:space="4"/>
          <w:right w:val="single" w:color="803303" w:sz="6" w:space="4"/>
        </w:pBdr>
        <w:spacing w:after="200" w:before="0"/>
        <w:jc w:val="center"/>
      </w:pPr>
      <w:r>
        <w:drawing>
          <wp:inline distT="0" distB="0" distL="0" distR="0">
            <wp:extent cx="9829800" cy="1223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0" cy="1223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Mushroom Green c.1860 — household map based on 1861 census returns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color w:val="444444"/>
          <w:sz w:val="18"/>
          <w:szCs w:val="18"/>
        </w:rPr>
        <w:t xml:space="preserve">An interactive version of this map is available. Keep the file below in the same folder as this document, then open it in any web browser: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color w:val="803303"/>
          <w:sz w:val="19"/>
          <w:szCs w:val="19"/>
        </w:rPr>
        <w:t xml:space="preserve">mushroom_green_1865_v10_10.html</w:t>
      </w:r>
    </w:p>
    <w:sectPr>
      <w:pgSz w:w="16838" w:h="23811" w:orient="portrait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852abd47705245c4ffd1da2917ac67260e9f21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2026-04-12T09:01:46.418Z</dcterms:created>
  <dcterms:modified xsi:type="dcterms:W3CDTF">2026-04-12T09:01:46.418Z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