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jc w:val="both"/>
        <w:rPr>
          <w:b/>
          <w:sz w:val="24"/>
          <w:szCs w:val="24"/>
        </w:rPr>
      </w:pPr>
      <w:r>
        <w:rPr>
          <w:b/>
          <w:sz w:val="24"/>
          <w:szCs w:val="24"/>
        </w:rPr>
        <w:t>Library preparation and sequencing</w:t>
      </w:r>
    </w:p>
    <w:p>
      <w:pPr>
        <w:spacing w:after="240" w:line="360" w:lineRule="auto"/>
        <w:jc w:val="both"/>
        <w:rPr>
          <w:sz w:val="24"/>
          <w:szCs w:val="24"/>
        </w:rPr>
      </w:pPr>
      <w:r>
        <w:rPr>
          <w:sz w:val="24"/>
          <w:szCs w:val="24"/>
        </w:rPr>
        <w:t>RNA was extracted from blood samples.</w:t>
      </w:r>
      <w:r>
        <w:rPr>
          <w:rFonts w:hint="eastAsia"/>
          <w:sz w:val="24"/>
          <w:szCs w:val="24"/>
          <w:lang w:val="en-US" w:eastAsia="zh-CN"/>
        </w:rPr>
        <w:t xml:space="preserve"> </w:t>
      </w:r>
      <w:r>
        <w:rPr>
          <w:sz w:val="24"/>
          <w:szCs w:val="24"/>
        </w:rPr>
        <w:t>To</w:t>
      </w:r>
      <w:bookmarkStart w:id="2" w:name="_GoBack"/>
      <w:bookmarkEnd w:id="2"/>
      <w:r>
        <w:rPr>
          <w:sz w:val="24"/>
          <w:szCs w:val="24"/>
        </w:rPr>
        <w:t xml:space="preserve">tal RNA was extracted from blood samples using a PAXgene Blood RNA Kit according to the manufacturer’s instructions, with RNA quality then assessed using an Agilent 2100 Bioanalyzer (Agilent Technologies, Santa Clara, CA, USA). Total RNA was processed using a GlobinZero Kit (Epicentre, Illumina, Madison, WI, USA) and purified with a modified Qiagen RNeasy MinElute (Qiagen Inc., Valencia, CA, USA) cleanup procedure or ethanol precipitation. Blood samples with an RNA integrity number (RIN) higher than </w:t>
      </w:r>
      <w:r>
        <w:rPr>
          <w:rFonts w:hint="eastAsia"/>
          <w:sz w:val="24"/>
          <w:szCs w:val="24"/>
        </w:rPr>
        <w:t>6</w:t>
      </w:r>
      <w:r>
        <w:rPr>
          <w:sz w:val="24"/>
          <w:szCs w:val="24"/>
        </w:rPr>
        <w:t xml:space="preserve">.5 were used for subsequent library construction and sequencing, with a specified amount of RNA from each sample used as input material. Lastly, the fecal and blood samples were subjected to transcriptomic and metagenomic sequencing at Novogene (Beijing, China), respectively, using the Illumina NovaSeq 6000 or </w:t>
      </w:r>
      <w:r>
        <w:rPr>
          <w:rFonts w:hint="eastAsia"/>
        </w:rPr>
        <w:t>Hiseq 4000</w:t>
      </w:r>
      <w:r>
        <w:rPr>
          <w:sz w:val="24"/>
          <w:szCs w:val="24"/>
        </w:rPr>
        <w:t xml:space="preserve"> platforms, with a paired-end sequencing length of 150 bp (PE150).</w:t>
      </w:r>
    </w:p>
    <w:p>
      <w:pPr>
        <w:spacing w:after="240" w:line="360" w:lineRule="auto"/>
        <w:jc w:val="both"/>
        <w:rPr>
          <w:b/>
          <w:sz w:val="24"/>
          <w:szCs w:val="24"/>
        </w:rPr>
      </w:pPr>
      <w:r>
        <w:rPr>
          <w:b/>
          <w:sz w:val="24"/>
          <w:szCs w:val="24"/>
        </w:rPr>
        <w:t>Transcriptome data analysis</w:t>
      </w:r>
    </w:p>
    <w:p>
      <w:pPr>
        <w:spacing w:line="360" w:lineRule="auto"/>
        <w:jc w:val="both"/>
        <w:rPr>
          <w:sz w:val="24"/>
          <w:szCs w:val="24"/>
        </w:rPr>
      </w:pPr>
      <w:r>
        <w:rPr>
          <w:b/>
          <w:i/>
          <w:sz w:val="24"/>
          <w:szCs w:val="24"/>
        </w:rPr>
        <w:t>Quality control and reads alignment.</w:t>
      </w:r>
      <w:r>
        <w:rPr>
          <w:sz w:val="24"/>
          <w:szCs w:val="24"/>
        </w:rPr>
        <w:t xml:space="preserve"> Adaptors and low-quality reads were removed using</w:t>
      </w:r>
      <w:bookmarkStart w:id="0" w:name="OLE_LINK67"/>
      <w:r>
        <w:rPr>
          <w:sz w:val="24"/>
          <w:szCs w:val="24"/>
        </w:rPr>
        <w:t xml:space="preserve"> the </w:t>
      </w:r>
      <w:bookmarkEnd w:id="0"/>
      <w:commentRangeStart w:id="0"/>
      <w:r>
        <w:rPr>
          <w:rFonts w:hint="eastAsia"/>
          <w:sz w:val="24"/>
          <w:szCs w:val="24"/>
          <w:lang w:val="en-US" w:eastAsia="zh-CN"/>
        </w:rPr>
        <w:t>fastp</w:t>
      </w:r>
      <w:r>
        <w:rPr>
          <w:sz w:val="24"/>
          <w:szCs w:val="24"/>
        </w:rPr>
        <w:t xml:space="preserve"> v</w:t>
      </w:r>
      <w:r>
        <w:rPr>
          <w:rFonts w:hint="eastAsia"/>
          <w:sz w:val="24"/>
          <w:szCs w:val="24"/>
          <w:lang w:val="en-US" w:eastAsia="zh-CN"/>
        </w:rPr>
        <w:t>0</w:t>
      </w:r>
      <w:r>
        <w:rPr>
          <w:sz w:val="24"/>
          <w:szCs w:val="24"/>
        </w:rPr>
        <w:t>.</w:t>
      </w:r>
      <w:r>
        <w:rPr>
          <w:rFonts w:hint="eastAsia"/>
          <w:sz w:val="24"/>
          <w:szCs w:val="24"/>
          <w:lang w:val="en-US" w:eastAsia="zh-CN"/>
        </w:rPr>
        <w:t>2</w:t>
      </w:r>
      <w:r>
        <w:rPr>
          <w:sz w:val="24"/>
          <w:szCs w:val="24"/>
        </w:rPr>
        <w:t>3.</w:t>
      </w:r>
      <w:r>
        <w:rPr>
          <w:rFonts w:hint="eastAsia"/>
          <w:sz w:val="24"/>
          <w:szCs w:val="24"/>
          <w:lang w:val="en-US" w:eastAsia="zh-CN"/>
        </w:rPr>
        <w:t>4</w:t>
      </w:r>
      <w:r>
        <w:rPr>
          <w:rFonts w:hint="eastAsia"/>
          <w:sz w:val="24"/>
          <w:szCs w:val="24"/>
        </w:rPr>
        <w:t xml:space="preserve"> </w:t>
      </w:r>
      <w:commentRangeEnd w:id="0"/>
      <w:r>
        <w:commentReference w:id="0"/>
      </w:r>
      <w:r>
        <w:rPr>
          <w:rFonts w:hint="eastAsia"/>
          <w:sz w:val="24"/>
          <w:szCs w:val="24"/>
        </w:rPr>
        <w:t xml:space="preserve">with </w:t>
      </w:r>
      <w:r>
        <w:rPr>
          <w:rFonts w:hint="eastAsia"/>
          <w:sz w:val="24"/>
          <w:szCs w:val="24"/>
          <w:lang w:val="en-US" w:eastAsia="zh-CN"/>
        </w:rPr>
        <w:t>defalut parameter</w:t>
      </w:r>
      <w:r>
        <w:rPr>
          <w:sz w:val="24"/>
          <w:szCs w:val="24"/>
        </w:rPr>
        <w:t xml:space="preserve">. </w:t>
      </w:r>
      <w:commentRangeStart w:id="1"/>
      <w:r>
        <w:rPr>
          <w:rFonts w:hint="eastAsia"/>
          <w:sz w:val="24"/>
          <w:szCs w:val="24"/>
        </w:rPr>
        <w:t>Based on our previous treatment</w:t>
      </w:r>
      <w:commentRangeEnd w:id="1"/>
      <w:r>
        <w:commentReference w:id="1"/>
      </w:r>
      <w:r>
        <w:rPr>
          <w:rFonts w:hint="eastAsia"/>
          <w:sz w:val="24"/>
          <w:szCs w:val="24"/>
          <w:lang w:val="en-US" w:eastAsia="zh-CN"/>
        </w:rPr>
        <w:t>, s</w:t>
      </w:r>
      <w:r>
        <w:rPr>
          <w:rFonts w:hint="eastAsia"/>
          <w:sz w:val="24"/>
          <w:szCs w:val="24"/>
        </w:rPr>
        <w:t xml:space="preserve">amples </w:t>
      </w:r>
      <w:r>
        <w:rPr>
          <w:sz w:val="24"/>
          <w:szCs w:val="24"/>
        </w:rPr>
        <w:t>in which</w:t>
      </w:r>
      <w:r>
        <w:rPr>
          <w:rFonts w:hint="eastAsia"/>
          <w:sz w:val="24"/>
          <w:szCs w:val="24"/>
        </w:rPr>
        <w:t xml:space="preserve"> </w:t>
      </w:r>
      <w:r>
        <w:rPr>
          <w:sz w:val="24"/>
          <w:szCs w:val="24"/>
        </w:rPr>
        <w:t>more than</w:t>
      </w:r>
      <w:r>
        <w:rPr>
          <w:rFonts w:hint="eastAsia"/>
          <w:sz w:val="24"/>
          <w:szCs w:val="24"/>
        </w:rPr>
        <w:t xml:space="preserve"> </w:t>
      </w:r>
      <w:r>
        <w:rPr>
          <w:rFonts w:hint="eastAsia"/>
          <w:sz w:val="24"/>
          <w:szCs w:val="24"/>
          <w:lang w:val="en-US" w:eastAsia="zh-CN"/>
        </w:rPr>
        <w:t>5</w:t>
      </w:r>
      <w:r>
        <w:rPr>
          <w:rFonts w:hint="eastAsia"/>
          <w:sz w:val="24"/>
          <w:szCs w:val="24"/>
        </w:rPr>
        <w:t xml:space="preserve">0% of reads </w:t>
      </w:r>
      <w:r>
        <w:rPr>
          <w:sz w:val="24"/>
          <w:szCs w:val="24"/>
        </w:rPr>
        <w:t xml:space="preserve">were </w:t>
      </w:r>
      <w:r>
        <w:rPr>
          <w:rFonts w:hint="eastAsia"/>
          <w:sz w:val="24"/>
          <w:szCs w:val="24"/>
        </w:rPr>
        <w:t xml:space="preserve">filtered out </w:t>
      </w:r>
      <w:r>
        <w:rPr>
          <w:sz w:val="24"/>
          <w:szCs w:val="24"/>
        </w:rPr>
        <w:t>were</w:t>
      </w:r>
      <w:r>
        <w:rPr>
          <w:rFonts w:hint="eastAsia"/>
          <w:sz w:val="24"/>
          <w:szCs w:val="24"/>
        </w:rPr>
        <w:t xml:space="preserve"> </w:t>
      </w:r>
      <w:r>
        <w:rPr>
          <w:sz w:val="24"/>
          <w:szCs w:val="24"/>
        </w:rPr>
        <w:t xml:space="preserve">considered </w:t>
      </w:r>
      <w:r>
        <w:rPr>
          <w:rFonts w:hint="eastAsia"/>
          <w:sz w:val="24"/>
          <w:szCs w:val="24"/>
        </w:rPr>
        <w:t xml:space="preserve">contaminated and </w:t>
      </w:r>
      <w:r>
        <w:rPr>
          <w:sz w:val="24"/>
          <w:szCs w:val="24"/>
        </w:rPr>
        <w:t>subsequently excluded</w:t>
      </w:r>
      <w:r>
        <w:rPr>
          <w:rFonts w:hint="eastAsia"/>
          <w:sz w:val="24"/>
          <w:szCs w:val="24"/>
        </w:rPr>
        <w:t xml:space="preserve"> </w:t>
      </w:r>
      <w:r>
        <w:rPr>
          <w:sz w:val="24"/>
          <w:szCs w:val="24"/>
        </w:rPr>
        <w:t>from</w:t>
      </w:r>
      <w:r>
        <w:rPr>
          <w:rFonts w:hint="eastAsia"/>
          <w:sz w:val="24"/>
          <w:szCs w:val="24"/>
        </w:rPr>
        <w:t xml:space="preserve"> downstream analysis. The </w:t>
      </w:r>
      <w:r>
        <w:rPr>
          <w:rFonts w:hint="eastAsia"/>
          <w:sz w:val="24"/>
          <w:szCs w:val="24"/>
          <w:lang w:val="en-US" w:eastAsia="zh-CN"/>
        </w:rPr>
        <w:t>human</w:t>
      </w:r>
      <w:r>
        <w:rPr>
          <w:rFonts w:hint="eastAsia"/>
          <w:sz w:val="24"/>
          <w:szCs w:val="24"/>
        </w:rPr>
        <w:t xml:space="preserve"> reference genome was downloaded from </w:t>
      </w:r>
      <w:r>
        <w:rPr>
          <w:rFonts w:hint="eastAsia"/>
          <w:sz w:val="24"/>
          <w:szCs w:val="24"/>
        </w:rPr>
        <w:t xml:space="preserve">Ensembl (Homo sapiens, </w:t>
      </w:r>
      <w:r>
        <w:rPr>
          <w:rFonts w:hint="eastAsia"/>
          <w:sz w:val="24"/>
          <w:szCs w:val="24"/>
        </w:rPr>
        <w:t xml:space="preserve">GRCh38), and </w:t>
      </w:r>
      <w:r>
        <w:rPr>
          <w:sz w:val="24"/>
          <w:szCs w:val="24"/>
        </w:rPr>
        <w:t xml:space="preserve">annotation information was downloaded from </w:t>
      </w:r>
      <w:r>
        <w:rPr>
          <w:rFonts w:hint="eastAsia"/>
          <w:sz w:val="24"/>
          <w:szCs w:val="24"/>
        </w:rPr>
        <w:t>Ensembl release-110</w:t>
      </w:r>
      <w:r>
        <w:rPr>
          <w:sz w:val="24"/>
          <w:szCs w:val="24"/>
        </w:rPr>
        <w:t xml:space="preserve"> (</w:t>
      </w:r>
      <w:r>
        <w:fldChar w:fldCharType="begin"/>
      </w:r>
      <w:r>
        <w:instrText xml:space="preserve"> HYPERLINK "http://www.ensembl.org" </w:instrText>
      </w:r>
      <w:r>
        <w:fldChar w:fldCharType="separate"/>
      </w:r>
      <w:r>
        <w:rPr>
          <w:rStyle w:val="6"/>
          <w:color w:val="auto"/>
          <w:sz w:val="24"/>
          <w:szCs w:val="24"/>
          <w:u w:val="none"/>
        </w:rPr>
        <w:t>www.ensembl.org</w:t>
      </w:r>
      <w:r>
        <w:rPr>
          <w:rStyle w:val="6"/>
          <w:color w:val="auto"/>
          <w:sz w:val="24"/>
          <w:szCs w:val="24"/>
          <w:u w:val="none"/>
        </w:rPr>
        <w:fldChar w:fldCharType="end"/>
      </w:r>
      <w:r>
        <w:rPr>
          <w:sz w:val="24"/>
          <w:szCs w:val="24"/>
        </w:rPr>
        <w:t xml:space="preserve">). Following this, the genome index was constructed, and </w:t>
      </w:r>
      <w:r>
        <w:rPr>
          <w:rFonts w:hint="eastAsia"/>
          <w:sz w:val="24"/>
          <w:szCs w:val="24"/>
        </w:rPr>
        <w:t>high-quality reads</w:t>
      </w:r>
      <w:r>
        <w:rPr>
          <w:sz w:val="24"/>
          <w:szCs w:val="24"/>
        </w:rPr>
        <w:t xml:space="preserve"> were mapped to the </w:t>
      </w:r>
      <w:r>
        <w:rPr>
          <w:rFonts w:hint="eastAsia"/>
          <w:sz w:val="24"/>
          <w:szCs w:val="24"/>
          <w:lang w:val="en-US" w:eastAsia="zh-CN"/>
        </w:rPr>
        <w:t>human</w:t>
      </w:r>
      <w:r>
        <w:rPr>
          <w:sz w:val="24"/>
          <w:szCs w:val="24"/>
        </w:rPr>
        <w:t xml:space="preserve"> reference genome usin</w:t>
      </w:r>
      <w:commentRangeStart w:id="2"/>
      <w:r>
        <w:rPr>
          <w:sz w:val="24"/>
          <w:szCs w:val="24"/>
        </w:rPr>
        <w:t>g HISAT2 v2.</w:t>
      </w:r>
      <w:r>
        <w:rPr>
          <w:rFonts w:hint="eastAsia"/>
          <w:sz w:val="24"/>
          <w:szCs w:val="24"/>
          <w:lang w:val="en-US" w:eastAsia="zh-CN"/>
        </w:rPr>
        <w:t>2</w:t>
      </w:r>
      <w:r>
        <w:rPr>
          <w:sz w:val="24"/>
          <w:szCs w:val="24"/>
        </w:rPr>
        <w:t>.</w:t>
      </w:r>
      <w:r>
        <w:rPr>
          <w:rFonts w:hint="eastAsia"/>
          <w:sz w:val="24"/>
          <w:szCs w:val="24"/>
          <w:lang w:val="en-US" w:eastAsia="zh-CN"/>
        </w:rPr>
        <w:t>1</w:t>
      </w:r>
      <w:r>
        <w:rPr>
          <w:sz w:val="24"/>
          <w:szCs w:val="24"/>
        </w:rPr>
        <w:t>.</w:t>
      </w:r>
      <w:commentRangeEnd w:id="2"/>
      <w:r>
        <w:commentReference w:id="2"/>
      </w:r>
      <w:r>
        <w:rPr>
          <w:sz w:val="24"/>
          <w:szCs w:val="24"/>
        </w:rPr>
        <w:t xml:space="preserve"> The SAM files were converted to BAM files using </w:t>
      </w:r>
      <w:commentRangeStart w:id="3"/>
      <w:r>
        <w:rPr>
          <w:sz w:val="24"/>
          <w:szCs w:val="24"/>
        </w:rPr>
        <w:t>SAMtools v1.</w:t>
      </w:r>
      <w:r>
        <w:rPr>
          <w:rFonts w:hint="eastAsia"/>
          <w:sz w:val="24"/>
          <w:szCs w:val="24"/>
          <w:lang w:val="en-US" w:eastAsia="zh-CN"/>
        </w:rPr>
        <w:t>1</w:t>
      </w:r>
      <w:r>
        <w:rPr>
          <w:sz w:val="24"/>
          <w:szCs w:val="24"/>
        </w:rPr>
        <w:t>9</w:t>
      </w:r>
      <w:commentRangeEnd w:id="3"/>
      <w:r>
        <w:commentReference w:id="3"/>
      </w:r>
      <w:r>
        <w:rPr>
          <w:sz w:val="24"/>
          <w:szCs w:val="24"/>
        </w:rPr>
        <w:t xml:space="preserve">, with the BAM files sorted by chromosomal position. Finally, raw read count matrices for each gene and transcript were obtained using </w:t>
      </w:r>
      <w:bookmarkStart w:id="1" w:name="OLE_LINK68"/>
      <w:commentRangeStart w:id="4"/>
      <w:r>
        <w:rPr>
          <w:sz w:val="24"/>
          <w:szCs w:val="24"/>
        </w:rPr>
        <w:t xml:space="preserve">StringTie </w:t>
      </w:r>
      <w:bookmarkEnd w:id="1"/>
      <w:r>
        <w:rPr>
          <w:sz w:val="24"/>
          <w:szCs w:val="24"/>
        </w:rPr>
        <w:t>v</w:t>
      </w:r>
      <w:r>
        <w:rPr>
          <w:rFonts w:hint="eastAsia"/>
          <w:sz w:val="24"/>
          <w:szCs w:val="24"/>
          <w:lang w:val="en-US" w:eastAsia="zh-CN"/>
        </w:rPr>
        <w:t>2.2.1</w:t>
      </w:r>
      <w:commentRangeEnd w:id="4"/>
      <w:r>
        <w:commentReference w:id="4"/>
      </w:r>
      <w:r>
        <w:rPr>
          <w:sz w:val="24"/>
          <w:szCs w:val="24"/>
        </w:rPr>
        <w:t xml:space="preserve"> based on the provided annotation information.</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ang ruixiang" w:date="2025-03-15T21:19:15Z" w:initials="">
    <w:p w14:paraId="572F2D69">
      <w:pPr>
        <w:pStyle w:val="2"/>
        <w:rPr>
          <w:rFonts w:ascii="Segoe UI" w:hAnsi="Segoe UI" w:eastAsia="Segoe UI" w:cs="Segoe UI"/>
          <w:i w:val="0"/>
          <w:iCs w:val="0"/>
          <w:caps w:val="0"/>
          <w:color w:val="F0F6FC"/>
          <w:spacing w:val="0"/>
          <w:sz w:val="19"/>
          <w:szCs w:val="19"/>
          <w:shd w:val="clear" w:fill="0D1117"/>
        </w:rPr>
      </w:pPr>
      <w:r>
        <w:rPr>
          <w:rFonts w:hint="eastAsia" w:ascii="Segoe UI" w:hAnsi="Segoe UI" w:eastAsia="Segoe UI" w:cs="Segoe UI"/>
          <w:i w:val="0"/>
          <w:iCs w:val="0"/>
          <w:caps w:val="0"/>
          <w:color w:val="F0F6FC"/>
          <w:spacing w:val="0"/>
          <w:sz w:val="19"/>
          <w:szCs w:val="19"/>
          <w:shd w:val="clear" w:fill="0D1117"/>
        </w:rPr>
        <w:t>Shifu Chen. 2023. Ultrafast one-pass FASTQ data preprocessing, quality control, and deduplication using fastp. iMeta 2: e107. https://doi.org/10.1002/imt2.107</w:t>
      </w:r>
    </w:p>
  </w:comment>
  <w:comment w:id="1" w:author="Tang ruixiang" w:date="2025-03-15T21:34:06Z" w:initials="">
    <w:p w14:paraId="18ED257B">
      <w:pPr>
        <w:pStyle w:val="2"/>
      </w:pPr>
      <w:r>
        <w:rPr>
          <w:rFonts w:ascii="Segoe UI" w:hAnsi="Segoe UI" w:eastAsia="Segoe UI" w:cs="Segoe UI"/>
          <w:i w:val="0"/>
          <w:iCs w:val="0"/>
          <w:caps w:val="0"/>
          <w:color w:val="212121"/>
          <w:spacing w:val="0"/>
          <w:sz w:val="19"/>
          <w:szCs w:val="19"/>
          <w:shd w:val="clear" w:fill="FFFFFF"/>
        </w:rPr>
        <w:t>Tang R, Wang J, Zhou M, Lan Y, Jiang L, Price M, Yue B, Li D, Fan Z. Comprehensive analysis of lncRNA and mRNA expression changes in Tibetan chicken lung tissue between three developmental stages. Anim Genet. 2020 Oct;51(5):731-740. doi: 10.1111/age.12990. Epub 2020 Aug 7. PMID: 32767694.</w:t>
      </w:r>
    </w:p>
    <w:p w14:paraId="310A200A">
      <w:pPr>
        <w:pStyle w:val="2"/>
      </w:pPr>
    </w:p>
  </w:comment>
  <w:comment w:id="2" w:author="Tang ruixiang" w:date="2025-03-15T21:25:30Z" w:initials="">
    <w:p w14:paraId="16AB6AF2">
      <w:pPr>
        <w:pStyle w:val="7"/>
        <w:bidi w:val="0"/>
        <w:ind w:left="720" w:hanging="720"/>
      </w:pPr>
      <w:r>
        <w:rPr>
          <w:rFonts w:ascii="Times New Roman" w:hAnsi="Times New Roman" w:eastAsia="宋体" w:cs="Times New Roman"/>
          <w:sz w:val="22"/>
          <w:szCs w:val="22"/>
          <w:lang w:val="en-US" w:eastAsia="zh-CN" w:bidi="ar-SA"/>
        </w:rPr>
        <w:t xml:space="preserve">Kim, D., Landmead, B. &amp; Salzberg, S. L. HISAT: a fast spliced aligner with low memory requirements. </w:t>
      </w:r>
      <w:r>
        <w:rPr>
          <w:rFonts w:ascii="Times New Roman" w:hAnsi="Times New Roman" w:eastAsia="宋体" w:cs="Times New Roman"/>
          <w:i/>
          <w:sz w:val="22"/>
          <w:szCs w:val="22"/>
          <w:lang w:val="en-US" w:eastAsia="zh-CN" w:bidi="ar-SA"/>
        </w:rPr>
        <w:t>Nature Methods</w:t>
      </w:r>
      <w:r>
        <w:rPr>
          <w:rFonts w:ascii="Times New Roman" w:hAnsi="Times New Roman" w:eastAsia="宋体" w:cs="Times New Roman"/>
          <w:sz w:val="22"/>
          <w:szCs w:val="22"/>
          <w:lang w:val="en-US" w:eastAsia="zh-CN" w:bidi="ar-SA"/>
        </w:rPr>
        <w:t xml:space="preserve"> </w:t>
      </w:r>
      <w:r>
        <w:rPr>
          <w:rFonts w:ascii="Times New Roman" w:hAnsi="Times New Roman" w:eastAsia="宋体" w:cs="Times New Roman"/>
          <w:b/>
          <w:sz w:val="22"/>
          <w:szCs w:val="22"/>
          <w:lang w:val="en-US" w:eastAsia="zh-CN" w:bidi="ar-SA"/>
        </w:rPr>
        <w:t>12</w:t>
      </w:r>
      <w:r>
        <w:rPr>
          <w:rFonts w:ascii="Times New Roman" w:hAnsi="Times New Roman" w:eastAsia="宋体" w:cs="Times New Roman"/>
          <w:sz w:val="22"/>
          <w:szCs w:val="22"/>
          <w:lang w:val="en-US" w:eastAsia="zh-CN" w:bidi="ar-SA"/>
        </w:rPr>
        <w:t>, 357-U121 (2015).</w:t>
      </w:r>
    </w:p>
  </w:comment>
  <w:comment w:id="3" w:author="Tang ruixiang" w:date="2025-03-15T21:26:22Z" w:initials="">
    <w:p w14:paraId="1F21669D">
      <w:pPr>
        <w:pStyle w:val="2"/>
      </w:pPr>
      <w:r>
        <w:rPr>
          <w:rFonts w:ascii="Segoe UI" w:hAnsi="Segoe UI" w:eastAsia="Segoe UI" w:cs="Segoe UI"/>
          <w:i w:val="0"/>
          <w:iCs w:val="0"/>
          <w:caps w:val="0"/>
          <w:color w:val="9198A1"/>
          <w:spacing w:val="0"/>
          <w:sz w:val="19"/>
          <w:szCs w:val="19"/>
          <w:shd w:val="clear" w:fill="0D1117"/>
        </w:rPr>
        <w:t>Twelve years of SAMtools and BCFtools</w:t>
      </w:r>
      <w:r>
        <w:rPr>
          <w:rFonts w:hint="default" w:ascii="Segoe UI" w:hAnsi="Segoe UI" w:eastAsia="Segoe UI" w:cs="Segoe UI"/>
          <w:i w:val="0"/>
          <w:iCs w:val="0"/>
          <w:caps w:val="0"/>
          <w:color w:val="9198A1"/>
          <w:spacing w:val="0"/>
          <w:sz w:val="19"/>
          <w:szCs w:val="19"/>
          <w:shd w:val="clear" w:fill="0D1117"/>
        </w:rPr>
        <w:br w:type="textWrapping"/>
      </w:r>
      <w:r>
        <w:rPr>
          <w:rFonts w:hint="default" w:ascii="Segoe UI" w:hAnsi="Segoe UI" w:eastAsia="Segoe UI" w:cs="Segoe UI"/>
          <w:i w:val="0"/>
          <w:iCs w:val="0"/>
          <w:caps w:val="0"/>
          <w:color w:val="9198A1"/>
          <w:spacing w:val="0"/>
          <w:sz w:val="19"/>
          <w:szCs w:val="19"/>
          <w:shd w:val="clear" w:fill="0D1117"/>
        </w:rPr>
        <w:t>Petr Danecek, James K Bonfield, Jennifer Liddle, John Marshall, Valeriu Ohan, Martin O Pollard, Andrew Whitwham, Thomas Keane, Shane A McCarthy, Robert M Davies, Heng Li</w:t>
      </w:r>
      <w:r>
        <w:rPr>
          <w:rFonts w:hint="default" w:ascii="Segoe UI" w:hAnsi="Segoe UI" w:eastAsia="Segoe UI" w:cs="Segoe UI"/>
          <w:i w:val="0"/>
          <w:iCs w:val="0"/>
          <w:caps w:val="0"/>
          <w:color w:val="9198A1"/>
          <w:spacing w:val="0"/>
          <w:sz w:val="19"/>
          <w:szCs w:val="19"/>
          <w:shd w:val="clear" w:fill="0D1117"/>
        </w:rPr>
        <w:br w:type="textWrapping"/>
      </w:r>
      <w:r>
        <w:rPr>
          <w:rStyle w:val="5"/>
          <w:rFonts w:hint="default" w:ascii="Segoe UI" w:hAnsi="Segoe UI" w:eastAsia="Segoe UI" w:cs="Segoe UI"/>
          <w:caps w:val="0"/>
          <w:color w:val="9198A1"/>
          <w:spacing w:val="0"/>
          <w:sz w:val="19"/>
          <w:szCs w:val="19"/>
          <w:shd w:val="clear" w:fill="0D1117"/>
        </w:rPr>
        <w:t>GigaScience</w:t>
      </w:r>
      <w:r>
        <w:rPr>
          <w:rFonts w:hint="default" w:ascii="Segoe UI" w:hAnsi="Segoe UI" w:eastAsia="Segoe UI" w:cs="Segoe UI"/>
          <w:i w:val="0"/>
          <w:iCs w:val="0"/>
          <w:caps w:val="0"/>
          <w:color w:val="9198A1"/>
          <w:spacing w:val="0"/>
          <w:sz w:val="19"/>
          <w:szCs w:val="19"/>
          <w:shd w:val="clear" w:fill="0D1117"/>
        </w:rPr>
        <w:t>, Volume 10, Issue 2, February 2021, giab008, </w:t>
      </w:r>
      <w:r>
        <w:rPr>
          <w:rFonts w:hint="default" w:ascii="Segoe UI" w:hAnsi="Segoe UI" w:eastAsia="Segoe UI" w:cs="Segoe UI"/>
          <w:i w:val="0"/>
          <w:iCs w:val="0"/>
          <w:caps w:val="0"/>
          <w:spacing w:val="0"/>
          <w:sz w:val="19"/>
          <w:szCs w:val="19"/>
          <w:u w:val="single"/>
          <w:shd w:val="clear" w:fill="0D1117"/>
        </w:rPr>
        <w:fldChar w:fldCharType="begin"/>
      </w:r>
      <w:r>
        <w:rPr>
          <w:rFonts w:hint="default" w:ascii="Segoe UI" w:hAnsi="Segoe UI" w:eastAsia="Segoe UI" w:cs="Segoe UI"/>
          <w:i w:val="0"/>
          <w:iCs w:val="0"/>
          <w:caps w:val="0"/>
          <w:spacing w:val="0"/>
          <w:sz w:val="19"/>
          <w:szCs w:val="19"/>
          <w:u w:val="single"/>
          <w:shd w:val="clear" w:fill="0D1117"/>
        </w:rPr>
        <w:instrText xml:space="preserve"> HYPERLINK "https://doi.org/10.1093/gigascience/giab008" </w:instrText>
      </w:r>
      <w:r>
        <w:rPr>
          <w:rFonts w:hint="default" w:ascii="Segoe UI" w:hAnsi="Segoe UI" w:eastAsia="Segoe UI" w:cs="Segoe UI"/>
          <w:i w:val="0"/>
          <w:iCs w:val="0"/>
          <w:caps w:val="0"/>
          <w:spacing w:val="0"/>
          <w:sz w:val="19"/>
          <w:szCs w:val="19"/>
          <w:u w:val="single"/>
          <w:shd w:val="clear" w:fill="0D1117"/>
        </w:rPr>
        <w:fldChar w:fldCharType="separate"/>
      </w:r>
      <w:r>
        <w:rPr>
          <w:rStyle w:val="6"/>
          <w:rFonts w:hint="default" w:ascii="Segoe UI" w:hAnsi="Segoe UI" w:eastAsia="Segoe UI" w:cs="Segoe UI"/>
          <w:i w:val="0"/>
          <w:iCs w:val="0"/>
          <w:caps w:val="0"/>
          <w:spacing w:val="0"/>
          <w:sz w:val="19"/>
          <w:szCs w:val="19"/>
          <w:u w:val="single"/>
          <w:shd w:val="clear" w:fill="0D1117"/>
        </w:rPr>
        <w:t>https://doi.org/10.1093/gigascience/giab008</w:t>
      </w:r>
      <w:r>
        <w:rPr>
          <w:rFonts w:hint="default" w:ascii="Segoe UI" w:hAnsi="Segoe UI" w:eastAsia="Segoe UI" w:cs="Segoe UI"/>
          <w:i w:val="0"/>
          <w:iCs w:val="0"/>
          <w:caps w:val="0"/>
          <w:spacing w:val="0"/>
          <w:sz w:val="19"/>
          <w:szCs w:val="19"/>
          <w:u w:val="single"/>
          <w:shd w:val="clear" w:fill="0D1117"/>
        </w:rPr>
        <w:fldChar w:fldCharType="end"/>
      </w:r>
    </w:p>
  </w:comment>
  <w:comment w:id="4" w:author="Tang ruixiang" w:date="2025-03-15T21:24:26Z" w:initials="">
    <w:p w14:paraId="38005777">
      <w:pPr>
        <w:pStyle w:val="2"/>
      </w:pPr>
      <w:r>
        <w:rPr>
          <w:rFonts w:ascii="Segoe UI" w:hAnsi="Segoe UI" w:eastAsia="Segoe UI" w:cs="Segoe UI"/>
          <w:i w:val="0"/>
          <w:iCs w:val="0"/>
          <w:caps w:val="0"/>
          <w:color w:val="F0F6FC"/>
          <w:spacing w:val="0"/>
          <w:sz w:val="19"/>
          <w:szCs w:val="19"/>
          <w:shd w:val="clear" w:fill="0D1117"/>
        </w:rPr>
        <w:t>Kovaka S, Zimin AV, Pertea GM, Razaghi R, Salzberg SL, Pertea M</w:t>
      </w:r>
      <w:r>
        <w:rPr>
          <w:rFonts w:hint="default" w:ascii="Segoe UI" w:hAnsi="Segoe UI" w:eastAsia="Segoe UI" w:cs="Segoe UI"/>
          <w:i w:val="0"/>
          <w:iCs w:val="0"/>
          <w:caps w:val="0"/>
          <w:color w:val="F0F6FC"/>
          <w:spacing w:val="0"/>
          <w:sz w:val="19"/>
          <w:szCs w:val="19"/>
          <w:shd w:val="clear" w:fill="0D1117"/>
        </w:rPr>
        <w:t> </w:t>
      </w:r>
      <w:r>
        <w:rPr>
          <w:rFonts w:hint="default" w:ascii="Segoe UI" w:hAnsi="Segoe UI" w:eastAsia="Segoe UI" w:cs="Segoe UI"/>
          <w:i w:val="0"/>
          <w:iCs w:val="0"/>
          <w:caps w:val="0"/>
          <w:spacing w:val="0"/>
          <w:sz w:val="19"/>
          <w:szCs w:val="19"/>
          <w:u w:val="single"/>
          <w:shd w:val="clear" w:fill="0D1117"/>
        </w:rPr>
        <w:fldChar w:fldCharType="begin"/>
      </w:r>
      <w:r>
        <w:rPr>
          <w:rFonts w:hint="default" w:ascii="Segoe UI" w:hAnsi="Segoe UI" w:eastAsia="Segoe UI" w:cs="Segoe UI"/>
          <w:i w:val="0"/>
          <w:iCs w:val="0"/>
          <w:caps w:val="0"/>
          <w:spacing w:val="0"/>
          <w:sz w:val="19"/>
          <w:szCs w:val="19"/>
          <w:u w:val="single"/>
          <w:shd w:val="clear" w:fill="0D1117"/>
        </w:rPr>
        <w:instrText xml:space="preserve"> HYPERLINK "https://genomebiology.biomedcentral.com/articles/10.1186/s13059-019-1910-1" </w:instrText>
      </w:r>
      <w:r>
        <w:rPr>
          <w:rFonts w:hint="default" w:ascii="Segoe UI" w:hAnsi="Segoe UI" w:eastAsia="Segoe UI" w:cs="Segoe UI"/>
          <w:i w:val="0"/>
          <w:iCs w:val="0"/>
          <w:caps w:val="0"/>
          <w:spacing w:val="0"/>
          <w:sz w:val="19"/>
          <w:szCs w:val="19"/>
          <w:u w:val="single"/>
          <w:shd w:val="clear" w:fill="0D1117"/>
        </w:rPr>
        <w:fldChar w:fldCharType="separate"/>
      </w:r>
      <w:r>
        <w:rPr>
          <w:rStyle w:val="6"/>
          <w:rFonts w:hint="default" w:ascii="Segoe UI" w:hAnsi="Segoe UI" w:eastAsia="Segoe UI" w:cs="Segoe UI"/>
          <w:i w:val="0"/>
          <w:iCs w:val="0"/>
          <w:caps w:val="0"/>
          <w:spacing w:val="0"/>
          <w:sz w:val="19"/>
          <w:szCs w:val="19"/>
          <w:u w:val="single"/>
          <w:shd w:val="clear" w:fill="0D1117"/>
        </w:rPr>
        <w:t>Transcriptome assembly from long-read RNA-seq alignments with StringTie2</w:t>
      </w:r>
      <w:r>
        <w:rPr>
          <w:rFonts w:hint="default" w:ascii="Segoe UI" w:hAnsi="Segoe UI" w:eastAsia="Segoe UI" w:cs="Segoe UI"/>
          <w:i w:val="0"/>
          <w:iCs w:val="0"/>
          <w:caps w:val="0"/>
          <w:spacing w:val="0"/>
          <w:sz w:val="19"/>
          <w:szCs w:val="19"/>
          <w:u w:val="single"/>
          <w:shd w:val="clear" w:fill="0D1117"/>
        </w:rPr>
        <w:fldChar w:fldCharType="end"/>
      </w:r>
      <w:r>
        <w:rPr>
          <w:rFonts w:hint="default" w:ascii="Segoe UI" w:hAnsi="Segoe UI" w:eastAsia="Segoe UI" w:cs="Segoe UI"/>
          <w:i w:val="0"/>
          <w:iCs w:val="0"/>
          <w:caps w:val="0"/>
          <w:color w:val="F0F6FC"/>
          <w:spacing w:val="0"/>
          <w:sz w:val="19"/>
          <w:szCs w:val="19"/>
          <w:shd w:val="clear" w:fill="0D1117"/>
        </w:rPr>
        <w:t>, </w:t>
      </w:r>
      <w:r>
        <w:rPr>
          <w:rStyle w:val="5"/>
          <w:rFonts w:hint="default" w:ascii="Segoe UI" w:hAnsi="Segoe UI" w:eastAsia="Segoe UI" w:cs="Segoe UI"/>
          <w:caps w:val="0"/>
          <w:color w:val="F0F6FC"/>
          <w:spacing w:val="0"/>
          <w:sz w:val="19"/>
          <w:szCs w:val="19"/>
          <w:shd w:val="clear" w:fill="0D1117"/>
        </w:rPr>
        <w:t>Genome Biology</w:t>
      </w:r>
      <w:r>
        <w:rPr>
          <w:rFonts w:hint="default" w:ascii="Segoe UI" w:hAnsi="Segoe UI" w:eastAsia="Segoe UI" w:cs="Segoe UI"/>
          <w:i w:val="0"/>
          <w:iCs w:val="0"/>
          <w:caps w:val="0"/>
          <w:color w:val="F0F6FC"/>
          <w:spacing w:val="0"/>
          <w:sz w:val="19"/>
          <w:szCs w:val="19"/>
          <w:shd w:val="clear" w:fill="0D1117"/>
        </w:rPr>
        <w:t> 20, 278 (2019), doi:10.1186/s13059-019-1910-1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2F2D69" w15:done="0"/>
  <w15:commentEx w15:paraId="310A200A" w15:done="0"/>
  <w15:commentEx w15:paraId="16AB6AF2" w15:done="0"/>
  <w15:commentEx w15:paraId="1F21669D" w15:done="0"/>
  <w15:commentEx w15:paraId="380057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ang ruixiang">
    <w15:presenceInfo w15:providerId="WPS Office" w15:userId="24201348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zYjA0OTA1YWZkOWRlMzVlMGI0ZDQzYjdlYWIwNGMifQ=="/>
  </w:docVars>
  <w:rsids>
    <w:rsidRoot w:val="75712BE9"/>
    <w:rsid w:val="7571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pPr>
    <w:rPr>
      <w:rFonts w:ascii="Times New Roman" w:hAnsi="Times New Roman" w:eastAsia="宋体" w:cstheme="minorBidi"/>
      <w:sz w:val="22"/>
      <w:szCs w:val="22"/>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character" w:styleId="5">
    <w:name w:val="Emphasis"/>
    <w:basedOn w:val="4"/>
    <w:qFormat/>
    <w:uiPriority w:val="0"/>
    <w:rPr>
      <w:i/>
    </w:rPr>
  </w:style>
  <w:style w:type="character" w:styleId="6">
    <w:name w:val="Hyperlink"/>
    <w:basedOn w:val="4"/>
    <w:unhideWhenUsed/>
    <w:qFormat/>
    <w:uiPriority w:val="99"/>
    <w:rPr>
      <w:color w:val="0026E5" w:themeColor="hyperlink"/>
      <w:u w:val="single"/>
      <w14:textFill>
        <w14:solidFill>
          <w14:schemeClr w14:val="hlink"/>
        </w14:solidFill>
      </w14:textFill>
    </w:rPr>
  </w:style>
  <w:style w:type="paragraph" w:customStyle="1" w:styleId="7">
    <w:name w:val="EndNote Bibliography"/>
    <w:basedOn w:val="1"/>
    <w:autoRedefine/>
    <w:qFormat/>
    <w:uiPriority w:val="0"/>
    <w:pPr>
      <w:jc w:val="both"/>
    </w:pPr>
    <w:rPr>
      <w:rFonts w:cs="Times New Roman"/>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2025-03-15T13:05:00Z</dcterms:created>
  <dc:creator>Tang ruixiang</dc:creator>
  <cp:lastModifiedBy>Tang ruixiang</cp:lastModifiedBy>
  <dcterms:modified xsi:type="dcterms:W3CDTF">2025-03-15T13:35:06Z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5A9A6669F09A483F906CB0AD13CB63ED_11</vt:lpwstr>
  </property>
</Properties>
</file>