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34D5D" w14:textId="2E8CEA23" w:rsidR="00392239" w:rsidRDefault="008212E1">
      <w:pPr>
        <w:rPr>
          <w:b/>
          <w:bCs/>
          <w:color w:val="FF0000"/>
        </w:rPr>
      </w:pPr>
      <w:r w:rsidRPr="008212E1">
        <w:rPr>
          <w:rFonts w:hint="eastAsia"/>
        </w:rPr>
        <w:t>内容包括</w:t>
      </w:r>
      <w:r w:rsidRPr="008212E1">
        <w:t xml:space="preserve">: </w:t>
      </w:r>
      <w:r w:rsidRPr="008212E1">
        <w:rPr>
          <w:rFonts w:hint="eastAsia"/>
          <w:b/>
          <w:bCs/>
          <w:color w:val="FF0000"/>
        </w:rPr>
        <w:t>云计算与可信计算基础、可信计算环境构建技术、面向云计算的可信平台模块、面向云计算的可信软件环境、可信云服务技术、可信云计算网络技术、可信云计算数据安全技术、软件定义的弹性云安全、云环境下安全外包计算。</w:t>
      </w:r>
    </w:p>
    <w:p w14:paraId="5B03240C" w14:textId="7770ECE5" w:rsidR="008212E1" w:rsidRDefault="008212E1">
      <w:r w:rsidRPr="008212E1">
        <w:rPr>
          <w:rFonts w:hint="eastAsia"/>
        </w:rPr>
        <w:t>机密计算希望解决的问题是</w:t>
      </w:r>
      <w:r w:rsidRPr="008212E1">
        <w:rPr>
          <w:rFonts w:hint="eastAsia"/>
          <w:b/>
          <w:bCs/>
          <w:color w:val="FF0000"/>
        </w:rPr>
        <w:t>数据使用</w:t>
      </w:r>
      <w:r w:rsidRPr="008212E1">
        <w:rPr>
          <w:rFonts w:hint="eastAsia"/>
        </w:rPr>
        <w:t>中的安全性。</w:t>
      </w:r>
    </w:p>
    <w:p w14:paraId="0103687B" w14:textId="70F72F39" w:rsidR="008212E1" w:rsidRDefault="008212E1">
      <w:r w:rsidRPr="008212E1">
        <w:rPr>
          <w:rFonts w:hint="eastAsia"/>
        </w:rPr>
        <w:t>云计算软件的安全包括</w:t>
      </w:r>
      <w:r w:rsidRPr="008212E1">
        <w:t>VMM</w:t>
      </w:r>
      <w:r w:rsidRPr="008212E1">
        <w:rPr>
          <w:rFonts w:hint="eastAsia"/>
        </w:rPr>
        <w:t>、虚拟机实例以及虚拟机中</w:t>
      </w:r>
      <w:r w:rsidRPr="008212E1">
        <w:rPr>
          <w:rFonts w:hint="eastAsia"/>
          <w:b/>
          <w:bCs/>
          <w:color w:val="FF0000"/>
        </w:rPr>
        <w:t>应用软件</w:t>
      </w:r>
      <w:r w:rsidRPr="008212E1">
        <w:rPr>
          <w:rFonts w:hint="eastAsia"/>
        </w:rPr>
        <w:t>的安全性</w:t>
      </w:r>
    </w:p>
    <w:p w14:paraId="687DBACA" w14:textId="7B435CE6" w:rsidR="008212E1" w:rsidRDefault="008212E1">
      <w:pPr>
        <w:rPr>
          <w:b/>
          <w:bCs/>
          <w:color w:val="FF0000"/>
        </w:rPr>
      </w:pPr>
      <w:r w:rsidRPr="008212E1">
        <w:rPr>
          <w:rFonts w:hint="eastAsia"/>
          <w:b/>
          <w:bCs/>
          <w:color w:val="FF0000"/>
        </w:rPr>
        <w:t>可信计算是一种旨在增强计算机系统可信性的综合性信息安全技术</w:t>
      </w:r>
    </w:p>
    <w:p w14:paraId="36B0C591" w14:textId="36ECBEAC" w:rsidR="008212E1" w:rsidRPr="008212E1" w:rsidRDefault="008212E1" w:rsidP="008212E1">
      <w:pPr>
        <w:rPr>
          <w:b/>
          <w:bCs/>
          <w:color w:val="FF0000"/>
        </w:rPr>
      </w:pPr>
      <w:r w:rsidRPr="008212E1">
        <w:rPr>
          <w:rFonts w:hint="eastAsia"/>
          <w:b/>
          <w:bCs/>
          <w:color w:val="FF0000"/>
        </w:rPr>
        <w:t>什么是可信？可信</w:t>
      </w:r>
      <w:r>
        <w:rPr>
          <w:rFonts w:hint="eastAsia"/>
          <w:b/>
          <w:bCs/>
          <w:color w:val="FF0000"/>
        </w:rPr>
        <w:t>约等于</w:t>
      </w:r>
      <w:r w:rsidRPr="008212E1">
        <w:rPr>
          <w:rFonts w:hint="eastAsia"/>
          <w:b/>
          <w:bCs/>
          <w:color w:val="FF0000"/>
        </w:rPr>
        <w:t>可靠</w:t>
      </w:r>
      <w:r w:rsidRPr="008212E1">
        <w:rPr>
          <w:b/>
          <w:bCs/>
          <w:color w:val="FF0000"/>
        </w:rPr>
        <w:t>+</w:t>
      </w:r>
      <w:r w:rsidRPr="008212E1">
        <w:rPr>
          <w:rFonts w:hint="eastAsia"/>
          <w:b/>
          <w:bCs/>
          <w:color w:val="FF0000"/>
        </w:rPr>
        <w:t>安全，稳定可靠和安全保密是用户最关心的问题。</w:t>
      </w:r>
    </w:p>
    <w:p w14:paraId="337619BB" w14:textId="0CC8AE3E" w:rsidR="008212E1" w:rsidRPr="008212E1" w:rsidRDefault="008212E1">
      <w:r w:rsidRPr="008212E1">
        <w:rPr>
          <w:rFonts w:hint="eastAsia"/>
        </w:rPr>
        <w:t>可信计算思想的应用：</w:t>
      </w:r>
    </w:p>
    <w:p w14:paraId="30BAC87F" w14:textId="77777777" w:rsidR="008212E1" w:rsidRPr="008212E1" w:rsidRDefault="008212E1" w:rsidP="008212E1">
      <w:pPr>
        <w:rPr>
          <w:b/>
          <w:bCs/>
          <w:color w:val="FF0000"/>
        </w:rPr>
      </w:pPr>
      <w:r w:rsidRPr="008212E1">
        <w:rPr>
          <w:b/>
          <w:bCs/>
          <w:color w:val="FF0000"/>
        </w:rPr>
        <w:t>1</w:t>
      </w:r>
      <w:r w:rsidRPr="008212E1">
        <w:rPr>
          <w:rFonts w:hint="eastAsia"/>
          <w:b/>
          <w:bCs/>
          <w:color w:val="FF0000"/>
        </w:rPr>
        <w:t>、增强微机系统的安全性。从微机的芯片、主板、硬件结构、</w:t>
      </w:r>
      <w:r w:rsidRPr="008212E1">
        <w:rPr>
          <w:b/>
          <w:bCs/>
          <w:color w:val="FF0000"/>
        </w:rPr>
        <w:t>BIOS</w:t>
      </w:r>
      <w:r w:rsidRPr="008212E1">
        <w:rPr>
          <w:rFonts w:hint="eastAsia"/>
          <w:b/>
          <w:bCs/>
          <w:color w:val="FF0000"/>
        </w:rPr>
        <w:t>和操作系统等软硬件底层安全做起，在网络、数据库、应用等方面综合采用密码技术、网络安全技术，有效增强微机系统的安全性。</w:t>
      </w:r>
    </w:p>
    <w:p w14:paraId="08AA8482" w14:textId="77777777" w:rsidR="008212E1" w:rsidRPr="008212E1" w:rsidRDefault="008212E1" w:rsidP="008212E1">
      <w:pPr>
        <w:rPr>
          <w:b/>
          <w:bCs/>
          <w:color w:val="FF0000"/>
        </w:rPr>
      </w:pPr>
      <w:r w:rsidRPr="008212E1">
        <w:rPr>
          <w:b/>
          <w:bCs/>
          <w:color w:val="FF0000"/>
        </w:rPr>
        <w:t>2</w:t>
      </w:r>
      <w:r w:rsidRPr="008212E1">
        <w:rPr>
          <w:rFonts w:hint="eastAsia"/>
          <w:b/>
          <w:bCs/>
          <w:color w:val="FF0000"/>
        </w:rPr>
        <w:t>、可信计算的总目标是提高计算机系统的安全性，现阶段可以确保信息系统数据完整性、数据安全存储和平台远程证明等安全功能。</w:t>
      </w:r>
    </w:p>
    <w:p w14:paraId="10AA36F0" w14:textId="77777777" w:rsidR="008212E1" w:rsidRPr="008212E1" w:rsidRDefault="008212E1" w:rsidP="008212E1">
      <w:pPr>
        <w:rPr>
          <w:b/>
          <w:bCs/>
          <w:color w:val="FF0000"/>
        </w:rPr>
      </w:pPr>
      <w:r w:rsidRPr="008212E1">
        <w:rPr>
          <w:b/>
          <w:bCs/>
          <w:color w:val="FF0000"/>
        </w:rPr>
        <w:t>3</w:t>
      </w:r>
      <w:r w:rsidRPr="008212E1">
        <w:rPr>
          <w:rFonts w:hint="eastAsia"/>
          <w:b/>
          <w:bCs/>
          <w:color w:val="FF0000"/>
        </w:rPr>
        <w:t>、从长远看，一切使用</w:t>
      </w:r>
      <w:r w:rsidRPr="008212E1">
        <w:rPr>
          <w:b/>
          <w:bCs/>
          <w:color w:val="FF0000"/>
        </w:rPr>
        <w:t>CPU</w:t>
      </w:r>
      <w:r w:rsidRPr="008212E1">
        <w:rPr>
          <w:rFonts w:hint="eastAsia"/>
          <w:b/>
          <w:bCs/>
          <w:color w:val="FF0000"/>
        </w:rPr>
        <w:t>的信息系统都应当采用可信计算技术来增强系统的安全性。当前已经成为热点的云计算、物联网和工业控制系统，更应当也更适合采用可信计算技术来增强安全性。</w:t>
      </w:r>
    </w:p>
    <w:p w14:paraId="5FF53F39" w14:textId="18E3191F" w:rsidR="008212E1" w:rsidRPr="008212E1" w:rsidRDefault="008212E1" w:rsidP="008212E1">
      <w:pPr>
        <w:rPr>
          <w:b/>
          <w:bCs/>
          <w:color w:val="FF0000"/>
        </w:rPr>
      </w:pPr>
      <w:r>
        <w:rPr>
          <w:rFonts w:hint="eastAsia"/>
        </w:rPr>
        <w:t>美国的可信评价标准</w:t>
      </w:r>
      <w:r w:rsidRPr="008212E1">
        <w:rPr>
          <w:rFonts w:hint="eastAsia"/>
        </w:rPr>
        <w:t>这些评价准则也存在一定的局限性</w:t>
      </w:r>
      <w:r w:rsidRPr="008212E1">
        <w:rPr>
          <w:rFonts w:hint="eastAsia"/>
          <w:b/>
          <w:bCs/>
          <w:color w:val="FF0000"/>
        </w:rPr>
        <w:t>：强调了信息的秘密性，对完整性考虑较少；强调了系统安全性的评价标准，却没有给出达到这种安全性的系统结构和技术路线；产业化应用不广泛。这一阶段可以看作是可信计算目标的提出阶段。</w:t>
      </w:r>
    </w:p>
    <w:p w14:paraId="5419E8EC" w14:textId="77777777" w:rsidR="008212E1" w:rsidRPr="008212E1" w:rsidRDefault="008212E1" w:rsidP="008212E1">
      <w:r w:rsidRPr="008212E1">
        <w:t>TCG</w:t>
      </w:r>
      <w:r w:rsidRPr="008212E1">
        <w:rPr>
          <w:rFonts w:hint="eastAsia"/>
        </w:rPr>
        <w:t>是一个非营利组织，旨在研究制定可信计算的工业标准：</w:t>
      </w:r>
    </w:p>
    <w:p w14:paraId="010990E3" w14:textId="77777777" w:rsidR="008212E1" w:rsidRPr="008212E1" w:rsidRDefault="008212E1" w:rsidP="008212E1">
      <w:pPr>
        <w:numPr>
          <w:ilvl w:val="0"/>
          <w:numId w:val="1"/>
        </w:numPr>
        <w:rPr>
          <w:b/>
          <w:bCs/>
          <w:color w:val="FF0000"/>
        </w:rPr>
      </w:pPr>
      <w:r w:rsidRPr="008212E1">
        <w:rPr>
          <w:rFonts w:hint="eastAsia"/>
          <w:b/>
          <w:bCs/>
          <w:color w:val="FF0000"/>
        </w:rPr>
        <w:t>可信</w:t>
      </w:r>
      <w:r w:rsidRPr="008212E1">
        <w:rPr>
          <w:b/>
          <w:bCs/>
          <w:color w:val="FF0000"/>
        </w:rPr>
        <w:t>PC</w:t>
      </w:r>
      <w:r w:rsidRPr="008212E1">
        <w:rPr>
          <w:rFonts w:hint="eastAsia"/>
          <w:b/>
          <w:bCs/>
          <w:color w:val="FF0000"/>
        </w:rPr>
        <w:t>规范</w:t>
      </w:r>
    </w:p>
    <w:p w14:paraId="6707FE33" w14:textId="77777777" w:rsidR="008212E1" w:rsidRPr="008212E1" w:rsidRDefault="008212E1" w:rsidP="008212E1">
      <w:pPr>
        <w:numPr>
          <w:ilvl w:val="0"/>
          <w:numId w:val="1"/>
        </w:numPr>
        <w:rPr>
          <w:b/>
          <w:bCs/>
          <w:color w:val="FF0000"/>
        </w:rPr>
      </w:pPr>
      <w:r w:rsidRPr="008212E1">
        <w:rPr>
          <w:rFonts w:hint="eastAsia"/>
          <w:b/>
          <w:bCs/>
          <w:color w:val="FF0000"/>
        </w:rPr>
        <w:t>可信平台模块</w:t>
      </w:r>
      <w:r w:rsidRPr="008212E1">
        <w:rPr>
          <w:b/>
          <w:bCs/>
          <w:color w:val="FF0000"/>
        </w:rPr>
        <w:t>TPM</w:t>
      </w:r>
      <w:r w:rsidRPr="008212E1">
        <w:rPr>
          <w:rFonts w:hint="eastAsia"/>
          <w:b/>
          <w:bCs/>
          <w:color w:val="FF0000"/>
        </w:rPr>
        <w:t>规范</w:t>
      </w:r>
    </w:p>
    <w:p w14:paraId="38AFCB09" w14:textId="77777777" w:rsidR="008212E1" w:rsidRPr="008212E1" w:rsidRDefault="008212E1" w:rsidP="008212E1">
      <w:pPr>
        <w:numPr>
          <w:ilvl w:val="0"/>
          <w:numId w:val="1"/>
        </w:numPr>
        <w:rPr>
          <w:b/>
          <w:bCs/>
          <w:color w:val="FF0000"/>
        </w:rPr>
      </w:pPr>
      <w:r w:rsidRPr="008212E1">
        <w:rPr>
          <w:rFonts w:hint="eastAsia"/>
          <w:b/>
          <w:bCs/>
          <w:color w:val="FF0000"/>
        </w:rPr>
        <w:t>可信软件栈</w:t>
      </w:r>
      <w:r w:rsidRPr="008212E1">
        <w:rPr>
          <w:b/>
          <w:bCs/>
          <w:color w:val="FF0000"/>
        </w:rPr>
        <w:t>TSS</w:t>
      </w:r>
      <w:r w:rsidRPr="008212E1">
        <w:rPr>
          <w:rFonts w:hint="eastAsia"/>
          <w:b/>
          <w:bCs/>
          <w:color w:val="FF0000"/>
        </w:rPr>
        <w:t>规范</w:t>
      </w:r>
    </w:p>
    <w:p w14:paraId="4B0CFBC6" w14:textId="77777777" w:rsidR="008212E1" w:rsidRPr="008212E1" w:rsidRDefault="008212E1" w:rsidP="008212E1">
      <w:pPr>
        <w:numPr>
          <w:ilvl w:val="0"/>
          <w:numId w:val="1"/>
        </w:numPr>
        <w:rPr>
          <w:b/>
          <w:bCs/>
          <w:color w:val="FF0000"/>
        </w:rPr>
      </w:pPr>
      <w:r w:rsidRPr="008212E1">
        <w:rPr>
          <w:rFonts w:hint="eastAsia"/>
          <w:b/>
          <w:bCs/>
          <w:color w:val="FF0000"/>
        </w:rPr>
        <w:t>可信服务器规范</w:t>
      </w:r>
    </w:p>
    <w:p w14:paraId="4C23BD29" w14:textId="77777777" w:rsidR="008212E1" w:rsidRPr="008212E1" w:rsidRDefault="008212E1" w:rsidP="008212E1">
      <w:pPr>
        <w:numPr>
          <w:ilvl w:val="0"/>
          <w:numId w:val="1"/>
        </w:numPr>
        <w:rPr>
          <w:b/>
          <w:bCs/>
          <w:color w:val="FF0000"/>
        </w:rPr>
      </w:pPr>
      <w:r w:rsidRPr="008212E1">
        <w:rPr>
          <w:rFonts w:hint="eastAsia"/>
          <w:b/>
          <w:bCs/>
          <w:color w:val="FF0000"/>
        </w:rPr>
        <w:t>可信网络连接规范</w:t>
      </w:r>
    </w:p>
    <w:p w14:paraId="121CACC2" w14:textId="77777777" w:rsidR="008212E1" w:rsidRPr="008212E1" w:rsidRDefault="008212E1" w:rsidP="008212E1">
      <w:pPr>
        <w:numPr>
          <w:ilvl w:val="0"/>
          <w:numId w:val="1"/>
        </w:numPr>
        <w:rPr>
          <w:b/>
          <w:bCs/>
          <w:color w:val="FF0000"/>
        </w:rPr>
      </w:pPr>
      <w:r w:rsidRPr="008212E1">
        <w:rPr>
          <w:rFonts w:hint="eastAsia"/>
          <w:b/>
          <w:bCs/>
          <w:color w:val="FF0000"/>
        </w:rPr>
        <w:t>可信手机模块规范</w:t>
      </w:r>
    </w:p>
    <w:p w14:paraId="4824C8A8" w14:textId="77777777" w:rsidR="008212E1" w:rsidRPr="008212E1" w:rsidRDefault="008212E1" w:rsidP="008212E1">
      <w:r w:rsidRPr="008212E1">
        <w:rPr>
          <w:rFonts w:hint="eastAsia"/>
        </w:rPr>
        <w:t>在</w:t>
      </w:r>
      <w:r w:rsidRPr="008212E1">
        <w:t>TCG</w:t>
      </w:r>
      <w:r w:rsidRPr="008212E1">
        <w:rPr>
          <w:rFonts w:hint="eastAsia"/>
        </w:rPr>
        <w:t>技术规范的指导下，国外企业已经推出了一系列可信计算产品并走向了实际应用，对信息安全有着重要的意义：</w:t>
      </w:r>
    </w:p>
    <w:p w14:paraId="4632B3AA" w14:textId="77777777" w:rsidR="008212E1" w:rsidRPr="008212E1" w:rsidRDefault="008212E1" w:rsidP="008212E1">
      <w:pPr>
        <w:numPr>
          <w:ilvl w:val="0"/>
          <w:numId w:val="2"/>
        </w:numPr>
        <w:rPr>
          <w:b/>
          <w:bCs/>
          <w:color w:val="FF0000"/>
        </w:rPr>
      </w:pPr>
      <w:r w:rsidRPr="008212E1">
        <w:rPr>
          <w:rFonts w:hint="eastAsia"/>
          <w:b/>
          <w:bCs/>
          <w:color w:val="FF0000"/>
        </w:rPr>
        <w:t>首次提出了可信计算平台的概念，并具体化到可信服务器、可信</w:t>
      </w:r>
      <w:r w:rsidRPr="008212E1">
        <w:rPr>
          <w:b/>
          <w:bCs/>
          <w:color w:val="FF0000"/>
        </w:rPr>
        <w:t>PC</w:t>
      </w:r>
      <w:r w:rsidRPr="008212E1">
        <w:rPr>
          <w:rFonts w:hint="eastAsia"/>
          <w:b/>
          <w:bCs/>
          <w:color w:val="FF0000"/>
        </w:rPr>
        <w:t>、可信</w:t>
      </w:r>
      <w:r w:rsidRPr="008212E1">
        <w:rPr>
          <w:b/>
          <w:bCs/>
          <w:color w:val="FF0000"/>
        </w:rPr>
        <w:t>PDA</w:t>
      </w:r>
      <w:r w:rsidRPr="008212E1">
        <w:rPr>
          <w:rFonts w:hint="eastAsia"/>
          <w:b/>
          <w:bCs/>
          <w:color w:val="FF0000"/>
        </w:rPr>
        <w:t>和可信手机，而且给出了相应的体系结构和技术路线。</w:t>
      </w:r>
    </w:p>
    <w:p w14:paraId="22236A69" w14:textId="77777777" w:rsidR="008212E1" w:rsidRPr="008212E1" w:rsidRDefault="008212E1" w:rsidP="008212E1">
      <w:pPr>
        <w:numPr>
          <w:ilvl w:val="0"/>
          <w:numId w:val="2"/>
        </w:numPr>
        <w:rPr>
          <w:b/>
          <w:bCs/>
          <w:color w:val="FF0000"/>
        </w:rPr>
      </w:pPr>
      <w:r w:rsidRPr="008212E1">
        <w:rPr>
          <w:rFonts w:hint="eastAsia"/>
          <w:b/>
          <w:bCs/>
          <w:color w:val="FF0000"/>
        </w:rPr>
        <w:t>不仅考虑了信息的保密性，更强调了完整性，特别是可执行代码的完整性。</w:t>
      </w:r>
    </w:p>
    <w:p w14:paraId="43B5F5F7" w14:textId="77777777" w:rsidR="008212E1" w:rsidRPr="008212E1" w:rsidRDefault="008212E1" w:rsidP="008212E1">
      <w:pPr>
        <w:numPr>
          <w:ilvl w:val="0"/>
          <w:numId w:val="2"/>
        </w:numPr>
        <w:rPr>
          <w:b/>
          <w:bCs/>
          <w:color w:val="FF0000"/>
        </w:rPr>
      </w:pPr>
      <w:r w:rsidRPr="008212E1">
        <w:rPr>
          <w:rFonts w:hint="eastAsia"/>
          <w:b/>
          <w:bCs/>
          <w:color w:val="FF0000"/>
        </w:rPr>
        <w:t>更加产业化和更具广泛性。</w:t>
      </w:r>
      <w:r w:rsidRPr="008212E1">
        <w:rPr>
          <w:b/>
          <w:bCs/>
          <w:color w:val="FF0000"/>
        </w:rPr>
        <w:t>TPM</w:t>
      </w:r>
      <w:r w:rsidRPr="008212E1">
        <w:rPr>
          <w:rFonts w:hint="eastAsia"/>
          <w:b/>
          <w:bCs/>
          <w:color w:val="FF0000"/>
        </w:rPr>
        <w:t>芯片是目前应用最广泛的可信计算产品。</w:t>
      </w:r>
    </w:p>
    <w:p w14:paraId="3AFE0793" w14:textId="23720C1B" w:rsidR="008212E1" w:rsidRDefault="008212E1">
      <w:pPr>
        <w:rPr>
          <w:b/>
          <w:bCs/>
          <w:color w:val="FF0000"/>
        </w:rPr>
      </w:pPr>
      <w:r w:rsidRPr="008212E1">
        <w:rPr>
          <w:rFonts w:hint="eastAsia"/>
        </w:rPr>
        <w:t>信任根是可信计算机的可信基点，也是实施安全控制的基点。它在功能上包含三个信任根，分别是</w:t>
      </w:r>
      <w:r w:rsidRPr="008212E1">
        <w:rPr>
          <w:rFonts w:hint="eastAsia"/>
          <w:b/>
          <w:bCs/>
          <w:color w:val="FF0000"/>
        </w:rPr>
        <w:t>可信度量根（</w:t>
      </w:r>
      <w:r w:rsidRPr="008212E1">
        <w:rPr>
          <w:b/>
          <w:bCs/>
          <w:color w:val="FF0000"/>
        </w:rPr>
        <w:t>Root of Trust for Measurement, RTM</w:t>
      </w:r>
      <w:r w:rsidRPr="008212E1">
        <w:rPr>
          <w:rFonts w:hint="eastAsia"/>
          <w:b/>
          <w:bCs/>
          <w:color w:val="FF0000"/>
        </w:rPr>
        <w:t>）、可信存储根（</w:t>
      </w:r>
      <w:r w:rsidRPr="008212E1">
        <w:rPr>
          <w:b/>
          <w:bCs/>
          <w:color w:val="FF0000"/>
        </w:rPr>
        <w:t>Root of Trust for Storage, RTS</w:t>
      </w:r>
      <w:r w:rsidRPr="008212E1">
        <w:rPr>
          <w:rFonts w:hint="eastAsia"/>
          <w:b/>
          <w:bCs/>
          <w:color w:val="FF0000"/>
        </w:rPr>
        <w:t>）、可信报告根（</w:t>
      </w:r>
      <w:r w:rsidRPr="008212E1">
        <w:rPr>
          <w:b/>
          <w:bCs/>
          <w:color w:val="FF0000"/>
        </w:rPr>
        <w:t>Root of Trust for Report, RTR</w:t>
      </w:r>
      <w:r w:rsidRPr="008212E1">
        <w:rPr>
          <w:rFonts w:hint="eastAsia"/>
          <w:b/>
          <w:bCs/>
          <w:color w:val="FF0000"/>
        </w:rPr>
        <w:t>）</w:t>
      </w:r>
    </w:p>
    <w:p w14:paraId="4FA8E003" w14:textId="2FFA33DC" w:rsidR="008212E1" w:rsidRDefault="008212E1">
      <w:pPr>
        <w:rPr>
          <w:b/>
          <w:bCs/>
          <w:color w:val="FF0000"/>
        </w:rPr>
      </w:pPr>
      <w:r w:rsidRPr="008212E1">
        <w:rPr>
          <w:rFonts w:hint="eastAsia"/>
        </w:rPr>
        <w:t>RTM是对平台进行可信度量的基点。</w:t>
      </w:r>
      <w:r w:rsidRPr="008212E1">
        <w:rPr>
          <w:rFonts w:hint="eastAsia"/>
          <w:b/>
          <w:bCs/>
          <w:color w:val="FF0000"/>
        </w:rPr>
        <w:t>它是平台启动时首先被执行的一段软件</w:t>
      </w:r>
    </w:p>
    <w:p w14:paraId="4F1C2579" w14:textId="2697A811" w:rsidR="008212E1" w:rsidRDefault="008212E1">
      <w:r w:rsidRPr="008212E1">
        <w:rPr>
          <w:rFonts w:hint="eastAsia"/>
        </w:rPr>
        <w:t>把资源哈希值进行了计算并安全存储后，当访问客体询问资源的可信性时，就可以以这些资源的哈希值给客体提供报告，由客体判断资源的可信状态，这一过程称为</w:t>
      </w:r>
      <w:r w:rsidRPr="008212E1">
        <w:rPr>
          <w:rFonts w:hint="eastAsia"/>
          <w:b/>
          <w:bCs/>
          <w:color w:val="FF0000"/>
        </w:rPr>
        <w:t>可信报告</w:t>
      </w:r>
    </w:p>
    <w:p w14:paraId="70D91576" w14:textId="38538F1D" w:rsidR="008212E1" w:rsidRDefault="008212E1">
      <w:r w:rsidRPr="008212E1">
        <w:rPr>
          <w:rFonts w:hint="eastAsia"/>
        </w:rPr>
        <w:t>利用密码学中的加密、数字签名和认证等技术，来保证报告内容的真实性，这被称作</w:t>
      </w:r>
      <w:r w:rsidRPr="008212E1">
        <w:rPr>
          <w:rFonts w:hint="eastAsia"/>
          <w:b/>
          <w:bCs/>
          <w:color w:val="FF0000"/>
        </w:rPr>
        <w:t>平台远程证明</w:t>
      </w:r>
      <w:r w:rsidRPr="008212E1">
        <w:rPr>
          <w:rFonts w:hint="eastAsia"/>
        </w:rPr>
        <w:t>。在此基础上，又提出了</w:t>
      </w:r>
      <w:r w:rsidRPr="008212E1">
        <w:t>Direct Anonymous Attestation,</w:t>
      </w:r>
      <w:r w:rsidRPr="008212E1">
        <w:rPr>
          <w:b/>
          <w:bCs/>
          <w:color w:val="FF0000"/>
        </w:rPr>
        <w:t xml:space="preserve"> DAA</w:t>
      </w:r>
      <w:r w:rsidRPr="008212E1">
        <w:rPr>
          <w:rFonts w:hint="eastAsia"/>
          <w:b/>
          <w:bCs/>
          <w:color w:val="FF0000"/>
        </w:rPr>
        <w:t>，直接匿名证明</w:t>
      </w:r>
      <w:r w:rsidRPr="008212E1">
        <w:rPr>
          <w:rFonts w:hint="eastAsia"/>
        </w:rPr>
        <w:t>，可以在报告过程中保护平台的隐私</w:t>
      </w:r>
    </w:p>
    <w:p w14:paraId="474C7208" w14:textId="6F5760AE" w:rsidR="008212E1" w:rsidRDefault="008212E1">
      <w:r w:rsidRPr="008212E1">
        <w:rPr>
          <w:rFonts w:hint="eastAsia"/>
        </w:rPr>
        <w:t>设计可信平台模块</w:t>
      </w:r>
      <w:r>
        <w:rPr>
          <w:rFonts w:hint="eastAsia"/>
        </w:rPr>
        <w:t>T</w:t>
      </w:r>
      <w:r>
        <w:t>PM</w:t>
      </w:r>
      <w:r w:rsidRPr="008212E1">
        <w:rPr>
          <w:rFonts w:hint="eastAsia"/>
        </w:rPr>
        <w:t>的目的就是</w:t>
      </w:r>
      <w:r w:rsidRPr="008212E1">
        <w:rPr>
          <w:rFonts w:hint="eastAsia"/>
          <w:b/>
          <w:bCs/>
          <w:color w:val="FF0000"/>
        </w:rPr>
        <w:t>给漂浮在软件海洋中的船只（客户终端）提供一只锚</w:t>
      </w:r>
      <w:r w:rsidRPr="008212E1">
        <w:rPr>
          <w:rFonts w:hint="eastAsia"/>
        </w:rPr>
        <w:t>。</w:t>
      </w:r>
    </w:p>
    <w:p w14:paraId="50FA2E15" w14:textId="70F32353" w:rsidR="008212E1" w:rsidRDefault="008212E1">
      <w:r>
        <w:rPr>
          <w:rFonts w:hint="eastAsia"/>
        </w:rPr>
        <w:t>T</w:t>
      </w:r>
      <w:r>
        <w:t>CG</w:t>
      </w:r>
      <w:r>
        <w:rPr>
          <w:rFonts w:hint="eastAsia"/>
        </w:rPr>
        <w:t>的主要思想：</w:t>
      </w:r>
      <w:r w:rsidRPr="008212E1">
        <w:rPr>
          <w:rFonts w:hint="eastAsia"/>
          <w:b/>
          <w:bCs/>
          <w:color w:val="FF0000"/>
        </w:rPr>
        <w:t>验证网络访问请求者的完整性，依据一定的安全策略对其进行评估，以决定是否允许请求者与网络连接，从而确保网络连接的可信性</w:t>
      </w:r>
    </w:p>
    <w:p w14:paraId="79000CF7" w14:textId="77777777" w:rsidR="008212E1" w:rsidRPr="008212E1" w:rsidRDefault="008212E1" w:rsidP="008212E1">
      <w:r w:rsidRPr="008212E1">
        <w:lastRenderedPageBreak/>
        <w:t>TPM2.0</w:t>
      </w:r>
      <w:r w:rsidRPr="008212E1">
        <w:rPr>
          <w:rFonts w:hint="eastAsia"/>
        </w:rPr>
        <w:t>的密码技术仍存在以下问题：</w:t>
      </w:r>
      <w:r w:rsidRPr="008212E1">
        <w:rPr>
          <w:rFonts w:hint="eastAsia"/>
          <w:b/>
          <w:bCs/>
          <w:color w:val="FF0000"/>
        </w:rPr>
        <w:t>实际应用尚少，安全性、兼容性和易用性还需要经过大量实际应用的检验</w:t>
      </w:r>
      <w:r w:rsidRPr="008212E1">
        <w:rPr>
          <w:rFonts w:hint="eastAsia"/>
        </w:rPr>
        <w:t>。</w:t>
      </w:r>
    </w:p>
    <w:p w14:paraId="0113C9A2" w14:textId="77777777" w:rsidR="008212E1" w:rsidRPr="008212E1" w:rsidRDefault="008212E1" w:rsidP="008212E1">
      <w:r w:rsidRPr="008212E1">
        <w:rPr>
          <w:rFonts w:hint="eastAsia"/>
        </w:rPr>
        <w:t>可信计算的总目标是提高计算机系统的可信性，现阶段可信计算</w:t>
      </w:r>
      <w:r w:rsidRPr="008212E1">
        <w:rPr>
          <w:rFonts w:hint="eastAsia"/>
          <w:b/>
          <w:bCs/>
          <w:color w:val="FF0000"/>
        </w:rPr>
        <w:t>只实现了确保系统重要资源的数据完整性、数据安全存储和平台远程证明等安全功能</w:t>
      </w:r>
      <w:r w:rsidRPr="008212E1">
        <w:rPr>
          <w:rFonts w:hint="eastAsia"/>
        </w:rPr>
        <w:t>。</w:t>
      </w:r>
    </w:p>
    <w:p w14:paraId="06B8A8E6" w14:textId="77777777" w:rsidR="008212E1" w:rsidRPr="008212E1" w:rsidRDefault="008212E1" w:rsidP="008212E1">
      <w:r w:rsidRPr="008212E1">
        <w:rPr>
          <w:rFonts w:hint="eastAsia"/>
        </w:rPr>
        <w:t>可信计算综合采用</w:t>
      </w:r>
      <w:r w:rsidRPr="008212E1">
        <w:rPr>
          <w:rFonts w:hint="eastAsia"/>
          <w:b/>
          <w:bCs/>
          <w:color w:val="FF0000"/>
        </w:rPr>
        <w:t>密码、访问控制、硬件安全、软件安全、网络安全</w:t>
      </w:r>
      <w:r w:rsidRPr="008212E1">
        <w:rPr>
          <w:rFonts w:hint="eastAsia"/>
        </w:rPr>
        <w:t>等技术来提高计算机系统的安全性，其核心是基于密码技术确保系统重要资源的数据完整性、进而提高计算机系统的可信性。</w:t>
      </w:r>
    </w:p>
    <w:p w14:paraId="531A233E" w14:textId="77777777" w:rsidR="008212E1" w:rsidRPr="008212E1" w:rsidRDefault="008212E1" w:rsidP="008212E1">
      <w:pPr>
        <w:rPr>
          <w:b/>
          <w:bCs/>
          <w:color w:val="FF0000"/>
        </w:rPr>
      </w:pPr>
      <w:r w:rsidRPr="008212E1">
        <w:rPr>
          <w:rFonts w:hint="eastAsia"/>
          <w:b/>
          <w:bCs/>
          <w:color w:val="FF0000"/>
        </w:rPr>
        <w:t>软件定义一切，一切软件运行在硬件之上，硬件系统安全和操作系统安全是信息系统安全的基础，一定要注意硬件的安全性！</w:t>
      </w:r>
    </w:p>
    <w:p w14:paraId="61B5FDCF" w14:textId="777F847F" w:rsidR="008212E1" w:rsidRDefault="008212E1" w:rsidP="00372933">
      <w:pPr>
        <w:jc w:val="center"/>
      </w:pPr>
      <w:r>
        <w:t>02</w:t>
      </w:r>
    </w:p>
    <w:p w14:paraId="27A54834" w14:textId="2AA3E533" w:rsidR="008212E1" w:rsidRDefault="008212E1">
      <w:r>
        <w:rPr>
          <w:noProof/>
        </w:rPr>
        <w:drawing>
          <wp:inline distT="0" distB="0" distL="0" distR="0" wp14:anchorId="6C9CA21A" wp14:editId="48E7300A">
            <wp:extent cx="5274310" cy="3074035"/>
            <wp:effectExtent l="0" t="0" r="2540" b="0"/>
            <wp:docPr id="1633249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9273" name=""/>
                    <pic:cNvPicPr/>
                  </pic:nvPicPr>
                  <pic:blipFill>
                    <a:blip r:embed="rId7"/>
                    <a:stretch>
                      <a:fillRect/>
                    </a:stretch>
                  </pic:blipFill>
                  <pic:spPr>
                    <a:xfrm>
                      <a:off x="0" y="0"/>
                      <a:ext cx="5274310" cy="3074035"/>
                    </a:xfrm>
                    <a:prstGeom prst="rect">
                      <a:avLst/>
                    </a:prstGeom>
                  </pic:spPr>
                </pic:pic>
              </a:graphicData>
            </a:graphic>
          </wp:inline>
        </w:drawing>
      </w:r>
    </w:p>
    <w:p w14:paraId="4D37F05A" w14:textId="145F75B8" w:rsidR="008212E1" w:rsidRDefault="008212E1">
      <w:pPr>
        <w:rPr>
          <w:b/>
          <w:bCs/>
        </w:rPr>
      </w:pPr>
      <w:r>
        <w:rPr>
          <w:rFonts w:hint="eastAsia"/>
        </w:rPr>
        <w:t>可信密码模块T</w:t>
      </w:r>
      <w:r>
        <w:t>CM</w:t>
      </w:r>
      <w:r>
        <w:rPr>
          <w:rFonts w:hint="eastAsia"/>
        </w:rPr>
        <w:t>的目标：</w:t>
      </w:r>
      <w:r w:rsidRPr="008212E1">
        <w:rPr>
          <w:rFonts w:hint="eastAsia"/>
          <w:b/>
          <w:bCs/>
        </w:rPr>
        <w:t>建立计算平台安全信任根基</w:t>
      </w:r>
      <w:r>
        <w:rPr>
          <w:rFonts w:hint="eastAsia"/>
          <w:b/>
          <w:bCs/>
        </w:rPr>
        <w:t xml:space="preserve"> </w:t>
      </w:r>
    </w:p>
    <w:p w14:paraId="496BC533" w14:textId="0304F310" w:rsidR="00372933" w:rsidRPr="00372933" w:rsidRDefault="008212E1" w:rsidP="00372933">
      <w:pPr>
        <w:tabs>
          <w:tab w:val="left" w:pos="2080"/>
        </w:tabs>
        <w:ind w:left="720"/>
      </w:pPr>
      <w:r>
        <w:tab/>
      </w:r>
      <w:r>
        <w:rPr>
          <w:rFonts w:hint="eastAsia"/>
        </w:rPr>
        <w:t>核心功能</w:t>
      </w:r>
      <w:r w:rsidR="00372933">
        <w:rPr>
          <w:rFonts w:hint="eastAsia"/>
        </w:rPr>
        <w:t>：</w:t>
      </w:r>
      <w:r w:rsidR="00372933" w:rsidRPr="00372933">
        <w:rPr>
          <w:rFonts w:hint="eastAsia"/>
          <w:b/>
          <w:bCs/>
        </w:rPr>
        <w:t>度量平台完整性，建立平台免疫力；</w:t>
      </w:r>
    </w:p>
    <w:p w14:paraId="46790BEB" w14:textId="77777777" w:rsidR="00372933" w:rsidRPr="00372933" w:rsidRDefault="00372933" w:rsidP="00372933">
      <w:pPr>
        <w:tabs>
          <w:tab w:val="left" w:pos="2080"/>
        </w:tabs>
        <w:ind w:left="2880"/>
      </w:pPr>
      <w:r w:rsidRPr="00372933">
        <w:rPr>
          <w:rFonts w:hint="eastAsia"/>
          <w:b/>
          <w:bCs/>
        </w:rPr>
        <w:t>平台身份唯一性标识；</w:t>
      </w:r>
    </w:p>
    <w:p w14:paraId="38806ECC" w14:textId="6F8601EE" w:rsidR="008212E1" w:rsidRDefault="00372933" w:rsidP="00372933">
      <w:pPr>
        <w:tabs>
          <w:tab w:val="left" w:pos="2080"/>
        </w:tabs>
        <w:rPr>
          <w:b/>
          <w:bCs/>
        </w:rPr>
      </w:pPr>
      <w:r>
        <w:rPr>
          <w:b/>
          <w:bCs/>
        </w:rPr>
        <w:tab/>
      </w:r>
      <w:r>
        <w:rPr>
          <w:b/>
          <w:bCs/>
        </w:rPr>
        <w:tab/>
      </w:r>
      <w:r>
        <w:rPr>
          <w:b/>
          <w:bCs/>
        </w:rPr>
        <w:tab/>
      </w:r>
      <w:r>
        <w:rPr>
          <w:b/>
          <w:bCs/>
        </w:rPr>
        <w:tab/>
      </w:r>
      <w:r w:rsidRPr="00372933">
        <w:rPr>
          <w:rFonts w:hint="eastAsia"/>
          <w:b/>
          <w:bCs/>
        </w:rPr>
        <w:t>提供硬件级密码学计算与密钥保护</w:t>
      </w:r>
    </w:p>
    <w:p w14:paraId="552A6580" w14:textId="77777777" w:rsidR="00372933" w:rsidRPr="00372933" w:rsidRDefault="00372933" w:rsidP="00372933">
      <w:pPr>
        <w:tabs>
          <w:tab w:val="left" w:pos="2080"/>
        </w:tabs>
        <w:rPr>
          <w:b/>
          <w:bCs/>
        </w:rPr>
      </w:pPr>
      <w:r w:rsidRPr="00372933">
        <w:rPr>
          <w:rFonts w:hint="eastAsia"/>
        </w:rPr>
        <w:t>可信计算平台架构：</w:t>
      </w:r>
      <w:r w:rsidRPr="00372933">
        <w:rPr>
          <w:rFonts w:hint="eastAsia"/>
          <w:b/>
          <w:bCs/>
        </w:rPr>
        <w:t>以TCM为核心，构建可信计算密码支撑平台，支撑安全应用，形成安全功能体系：</w:t>
      </w:r>
    </w:p>
    <w:p w14:paraId="5684B0F2" w14:textId="77777777" w:rsidR="00372933" w:rsidRPr="00372933" w:rsidRDefault="00372933" w:rsidP="00372933">
      <w:pPr>
        <w:numPr>
          <w:ilvl w:val="0"/>
          <w:numId w:val="4"/>
        </w:numPr>
        <w:tabs>
          <w:tab w:val="left" w:pos="2080"/>
        </w:tabs>
        <w:rPr>
          <w:b/>
          <w:bCs/>
        </w:rPr>
      </w:pPr>
      <w:r w:rsidRPr="00372933">
        <w:rPr>
          <w:rFonts w:hint="eastAsia"/>
          <w:b/>
          <w:bCs/>
        </w:rPr>
        <w:t>平台完整性保护</w:t>
      </w:r>
    </w:p>
    <w:p w14:paraId="3B851EC3" w14:textId="77777777" w:rsidR="00372933" w:rsidRPr="00372933" w:rsidRDefault="00372933" w:rsidP="00372933">
      <w:pPr>
        <w:numPr>
          <w:ilvl w:val="0"/>
          <w:numId w:val="4"/>
        </w:numPr>
        <w:tabs>
          <w:tab w:val="left" w:pos="2080"/>
        </w:tabs>
        <w:rPr>
          <w:b/>
          <w:bCs/>
        </w:rPr>
      </w:pPr>
      <w:r w:rsidRPr="00372933">
        <w:rPr>
          <w:rFonts w:hint="eastAsia"/>
          <w:b/>
          <w:bCs/>
        </w:rPr>
        <w:t>平台可信身份标识与证实</w:t>
      </w:r>
    </w:p>
    <w:p w14:paraId="7CF9F96D" w14:textId="77777777" w:rsidR="00372933" w:rsidRPr="00372933" w:rsidRDefault="00372933" w:rsidP="00372933">
      <w:pPr>
        <w:numPr>
          <w:ilvl w:val="0"/>
          <w:numId w:val="4"/>
        </w:numPr>
        <w:tabs>
          <w:tab w:val="left" w:pos="2080"/>
        </w:tabs>
        <w:rPr>
          <w:b/>
          <w:bCs/>
        </w:rPr>
      </w:pPr>
      <w:r w:rsidRPr="00372933">
        <w:rPr>
          <w:rFonts w:hint="eastAsia"/>
          <w:b/>
          <w:bCs/>
        </w:rPr>
        <w:t>平台数据密封与绑定</w:t>
      </w:r>
    </w:p>
    <w:p w14:paraId="4F0A86C1" w14:textId="77777777" w:rsidR="00372933" w:rsidRPr="00372933" w:rsidRDefault="00372933" w:rsidP="00372933">
      <w:pPr>
        <w:tabs>
          <w:tab w:val="left" w:pos="2080"/>
        </w:tabs>
      </w:pPr>
      <w:r w:rsidRPr="00372933">
        <w:rPr>
          <w:rFonts w:hint="eastAsia"/>
          <w:b/>
          <w:bCs/>
        </w:rPr>
        <w:t>中国可信计算工作组</w:t>
      </w:r>
      <w:r w:rsidRPr="00372933">
        <w:rPr>
          <w:b/>
          <w:bCs/>
        </w:rPr>
        <w:t>(TCMU)</w:t>
      </w:r>
    </w:p>
    <w:p w14:paraId="7FA2536B" w14:textId="6E6491D3" w:rsidR="00372933" w:rsidRPr="00372933" w:rsidRDefault="00372933" w:rsidP="00372933">
      <w:pPr>
        <w:tabs>
          <w:tab w:val="left" w:pos="2080"/>
        </w:tabs>
        <w:jc w:val="center"/>
      </w:pPr>
      <w:r>
        <w:rPr>
          <w:rFonts w:hint="eastAsia"/>
        </w:rPr>
        <w:t>0</w:t>
      </w:r>
      <w:r>
        <w:t>3</w:t>
      </w:r>
    </w:p>
    <w:p w14:paraId="65F4E007" w14:textId="4E70AFF7" w:rsidR="00372933" w:rsidRDefault="00372933" w:rsidP="00372933">
      <w:pPr>
        <w:tabs>
          <w:tab w:val="left" w:pos="2080"/>
        </w:tabs>
      </w:pPr>
      <w:r w:rsidRPr="00372933">
        <w:rPr>
          <w:rFonts w:hint="eastAsia"/>
        </w:rPr>
        <w:t>可信计算的体系由可信计算节点及其间的可信连接构成，为其所在的网络环境提供相应等级的安全保障。可信计算节点可根据其所处业务环境部署不同功能的应用程序，可信计算节点包括</w:t>
      </w:r>
      <w:r w:rsidRPr="00372933">
        <w:rPr>
          <w:rFonts w:hint="eastAsia"/>
          <w:b/>
          <w:bCs/>
        </w:rPr>
        <w:t>可信计算节点（服务）和可信计算节点（终端</w:t>
      </w:r>
      <w:r w:rsidRPr="00372933">
        <w:rPr>
          <w:rFonts w:hint="eastAsia"/>
        </w:rPr>
        <w:t>），不同类型的可信节点可独立或相互间通过可信连接构成可信计算体系。</w:t>
      </w:r>
    </w:p>
    <w:p w14:paraId="7CE2C28C" w14:textId="77777777" w:rsidR="00372933" w:rsidRPr="00372933" w:rsidRDefault="00372933" w:rsidP="00372933">
      <w:pPr>
        <w:tabs>
          <w:tab w:val="left" w:pos="2080"/>
        </w:tabs>
      </w:pPr>
      <w:r w:rsidRPr="00372933">
        <w:rPr>
          <w:rFonts w:hint="eastAsia"/>
        </w:rPr>
        <w:t>可信部件主要包括：</w:t>
      </w:r>
      <w:r w:rsidRPr="00372933">
        <w:rPr>
          <w:rFonts w:hint="eastAsia"/>
          <w:b/>
          <w:bCs/>
        </w:rPr>
        <w:t>可信密码模块（ＴＣＭ）或可信平台模块（ＴＰＭ）、可信平台控制模块（ＴＰＣＭ）、可信平台主板、可信软件基（ＴＳＢ）和可信连接</w:t>
      </w:r>
      <w:r w:rsidRPr="00372933">
        <w:rPr>
          <w:rFonts w:hint="eastAsia"/>
        </w:rPr>
        <w:t>。可信部件具有三种工作模式，即</w:t>
      </w:r>
      <w:r w:rsidRPr="00372933">
        <w:rPr>
          <w:rFonts w:hint="eastAsia"/>
          <w:b/>
          <w:bCs/>
        </w:rPr>
        <w:t>裁决度量模式、报告度量模式和混合度量模式</w:t>
      </w:r>
      <w:r w:rsidRPr="00372933">
        <w:rPr>
          <w:rFonts w:hint="eastAsia"/>
        </w:rPr>
        <w:t>，三种工作模式依赖不同的可信部</w:t>
      </w:r>
      <w:r w:rsidRPr="00372933">
        <w:rPr>
          <w:rFonts w:hint="eastAsia"/>
        </w:rPr>
        <w:lastRenderedPageBreak/>
        <w:t>件。</w:t>
      </w:r>
    </w:p>
    <w:p w14:paraId="3BF10041" w14:textId="21C71A0E" w:rsidR="00372933" w:rsidRPr="00372933" w:rsidRDefault="00372933" w:rsidP="00372933">
      <w:pPr>
        <w:tabs>
          <w:tab w:val="left" w:pos="2080"/>
        </w:tabs>
        <w:jc w:val="center"/>
      </w:pPr>
      <w:r>
        <w:rPr>
          <w:rFonts w:hint="eastAsia"/>
        </w:rPr>
        <w:t>0</w:t>
      </w:r>
      <w:r>
        <w:t>4</w:t>
      </w:r>
    </w:p>
    <w:p w14:paraId="2E580252" w14:textId="77777777" w:rsidR="00372933" w:rsidRPr="00372933" w:rsidRDefault="00372933" w:rsidP="00372933">
      <w:pPr>
        <w:tabs>
          <w:tab w:val="left" w:pos="2080"/>
        </w:tabs>
      </w:pPr>
      <w:r w:rsidRPr="00372933">
        <w:rPr>
          <w:b/>
          <w:bCs/>
        </w:rPr>
        <w:t>TPCM</w:t>
      </w:r>
      <w:r w:rsidRPr="00372933">
        <w:rPr>
          <w:rFonts w:hint="eastAsia"/>
          <w:b/>
          <w:bCs/>
        </w:rPr>
        <w:t>模块是一个逻辑概念，由功能组件、基础软件和硬件组成</w:t>
      </w:r>
      <w:r w:rsidRPr="00372933">
        <w:rPr>
          <w:rFonts w:hint="eastAsia"/>
        </w:rPr>
        <w:t>。</w:t>
      </w:r>
    </w:p>
    <w:p w14:paraId="56415B64" w14:textId="14A7A751" w:rsidR="00372933" w:rsidRDefault="00372933" w:rsidP="00372933">
      <w:pPr>
        <w:tabs>
          <w:tab w:val="left" w:pos="2080"/>
        </w:tabs>
      </w:pPr>
      <w:r>
        <w:t>TPCM</w:t>
      </w:r>
      <w:r>
        <w:rPr>
          <w:rFonts w:hint="eastAsia"/>
        </w:rPr>
        <w:t>和</w:t>
      </w:r>
      <w:r>
        <w:t>TPM</w:t>
      </w:r>
      <w:r>
        <w:rPr>
          <w:rFonts w:hint="eastAsia"/>
        </w:rPr>
        <w:t>的区别</w:t>
      </w:r>
    </w:p>
    <w:p w14:paraId="3B6D3B01" w14:textId="11BA6022" w:rsidR="00372933" w:rsidRDefault="00372933" w:rsidP="00372933">
      <w:pPr>
        <w:tabs>
          <w:tab w:val="left" w:pos="2080"/>
        </w:tabs>
      </w:pPr>
      <w:r>
        <w:rPr>
          <w:rFonts w:hint="eastAsia"/>
        </w:rPr>
        <w:t>完整性度量方面：</w:t>
      </w:r>
    </w:p>
    <w:p w14:paraId="6FDFD1FC" w14:textId="77777777" w:rsidR="00372933" w:rsidRPr="00372933" w:rsidRDefault="00372933" w:rsidP="00372933">
      <w:pPr>
        <w:numPr>
          <w:ilvl w:val="0"/>
          <w:numId w:val="7"/>
        </w:numPr>
        <w:tabs>
          <w:tab w:val="left" w:pos="2080"/>
        </w:tabs>
      </w:pPr>
      <w:r w:rsidRPr="00372933">
        <w:t>TPM</w:t>
      </w:r>
      <w:r w:rsidRPr="00372933">
        <w:rPr>
          <w:rFonts w:hint="eastAsia"/>
        </w:rPr>
        <w:t>作为可信计算平台的核心，实际上是一块安装在主板上，含有密码运算部件和存储部件的系统级芯片。</w:t>
      </w:r>
      <w:r w:rsidRPr="00372933">
        <w:t>TPM</w:t>
      </w:r>
      <w:r w:rsidRPr="00372933">
        <w:rPr>
          <w:rFonts w:hint="eastAsia"/>
        </w:rPr>
        <w:t>技术最核心的功能在为平台提供安全可信的密钥存储、完整性报告和基础的密码运算等功能。</w:t>
      </w:r>
    </w:p>
    <w:p w14:paraId="78879938" w14:textId="77777777" w:rsidR="00372933" w:rsidRPr="00372933" w:rsidRDefault="00372933" w:rsidP="00372933">
      <w:pPr>
        <w:numPr>
          <w:ilvl w:val="0"/>
          <w:numId w:val="7"/>
        </w:numPr>
        <w:tabs>
          <w:tab w:val="left" w:pos="2080"/>
        </w:tabs>
      </w:pPr>
      <w:r w:rsidRPr="00372933">
        <w:t xml:space="preserve"> TPM</w:t>
      </w:r>
      <w:r w:rsidRPr="00372933">
        <w:rPr>
          <w:rFonts w:hint="eastAsia"/>
        </w:rPr>
        <w:t xml:space="preserve">的主要功能包括平台的密码计算、完整性报告和可信存储，而 </w:t>
      </w:r>
      <w:r w:rsidRPr="00372933">
        <w:t xml:space="preserve">TPCM </w:t>
      </w:r>
      <w:r w:rsidRPr="00372933">
        <w:rPr>
          <w:rFonts w:hint="eastAsia"/>
        </w:rPr>
        <w:t>从应用角度出发，对芯片功能进行了改进，可以为可信计算平台提供控制机制、主动的完整性度量、主动的可信报告、可信存储和可信通信等功能。</w:t>
      </w:r>
    </w:p>
    <w:p w14:paraId="050DF01C" w14:textId="77777777" w:rsidR="00372933" w:rsidRPr="00372933" w:rsidRDefault="00372933" w:rsidP="00372933">
      <w:pPr>
        <w:numPr>
          <w:ilvl w:val="0"/>
          <w:numId w:val="7"/>
        </w:numPr>
        <w:tabs>
          <w:tab w:val="left" w:pos="2080"/>
        </w:tabs>
      </w:pPr>
      <w:r w:rsidRPr="00372933">
        <w:t>TPM</w:t>
      </w:r>
      <w:r w:rsidRPr="00372933">
        <w:rPr>
          <w:rFonts w:hint="eastAsia"/>
        </w:rPr>
        <w:t>的平台完整性度量属于一种被动的度量方式。系统启动时，必须先启动了</w:t>
      </w:r>
      <w:r w:rsidRPr="00372933">
        <w:t>BIOS</w:t>
      </w:r>
      <w:r w:rsidRPr="00372933">
        <w:rPr>
          <w:rFonts w:hint="eastAsia"/>
        </w:rPr>
        <w:t>，对硬件和系统检测完毕后，</w:t>
      </w:r>
      <w:r w:rsidRPr="00372933">
        <w:t>BIOS</w:t>
      </w:r>
      <w:r w:rsidRPr="00372933">
        <w:rPr>
          <w:rFonts w:hint="eastAsia"/>
        </w:rPr>
        <w:t>加载</w:t>
      </w:r>
      <w:r w:rsidRPr="00372933">
        <w:t>TPM</w:t>
      </w:r>
      <w:r w:rsidRPr="00372933">
        <w:rPr>
          <w:rFonts w:hint="eastAsia"/>
        </w:rPr>
        <w:t>芯片才能发挥度量作用，这给黑客入侵、攻击</w:t>
      </w:r>
      <w:r w:rsidRPr="00372933">
        <w:t>BIOS</w:t>
      </w:r>
      <w:r w:rsidRPr="00372933">
        <w:rPr>
          <w:rFonts w:hint="eastAsia"/>
        </w:rPr>
        <w:t>提供了机会。</w:t>
      </w:r>
    </w:p>
    <w:p w14:paraId="02C111E8" w14:textId="77777777" w:rsidR="00372933" w:rsidRPr="00372933" w:rsidRDefault="00372933" w:rsidP="00372933">
      <w:pPr>
        <w:numPr>
          <w:ilvl w:val="0"/>
          <w:numId w:val="7"/>
        </w:numPr>
        <w:tabs>
          <w:tab w:val="left" w:pos="2080"/>
        </w:tabs>
      </w:pPr>
      <w:r w:rsidRPr="00372933">
        <w:t>TPCM</w:t>
      </w:r>
      <w:r w:rsidRPr="00372933">
        <w:rPr>
          <w:rFonts w:hint="eastAsia"/>
        </w:rPr>
        <w:t>作为系统的可信根，在</w:t>
      </w:r>
      <w:r w:rsidRPr="00372933">
        <w:t>TCM</w:t>
      </w:r>
      <w:r w:rsidRPr="00372933">
        <w:rPr>
          <w:rFonts w:hint="eastAsia"/>
        </w:rPr>
        <w:t>基础上加以信任根控制功能，实现了以密码为基础的主动控制和度量；</w:t>
      </w:r>
      <w:r w:rsidRPr="00372933">
        <w:t>TPCM</w:t>
      </w:r>
      <w:r w:rsidRPr="00372933">
        <w:rPr>
          <w:rFonts w:hint="eastAsia"/>
        </w:rPr>
        <w:t>要优先于</w:t>
      </w:r>
      <w:r w:rsidRPr="00372933">
        <w:t>CPU</w:t>
      </w:r>
      <w:r w:rsidRPr="00372933">
        <w:rPr>
          <w:rFonts w:hint="eastAsia"/>
        </w:rPr>
        <w:t>启动，并主动对</w:t>
      </w:r>
      <w:r w:rsidRPr="00372933">
        <w:t>BIOS</w:t>
      </w:r>
      <w:r w:rsidRPr="00372933">
        <w:rPr>
          <w:rFonts w:hint="eastAsia"/>
        </w:rPr>
        <w:t>进行验证。在验证通过后，在通过电源和总线控制机制允许</w:t>
      </w:r>
      <w:r w:rsidRPr="00372933">
        <w:t>CPU</w:t>
      </w:r>
      <w:r w:rsidRPr="00372933">
        <w:rPr>
          <w:rFonts w:hint="eastAsia"/>
        </w:rPr>
        <w:t>启动运行。先于</w:t>
      </w:r>
      <w:r w:rsidRPr="00372933">
        <w:t>CPU</w:t>
      </w:r>
      <w:r w:rsidRPr="00372933">
        <w:rPr>
          <w:rFonts w:hint="eastAsia"/>
        </w:rPr>
        <w:t>启动是为了保证对系统的控制，防止可信机制被系统旁路。由此改变了</w:t>
      </w:r>
      <w:r w:rsidRPr="00372933">
        <w:t>TPM</w:t>
      </w:r>
      <w:r w:rsidRPr="00372933">
        <w:rPr>
          <w:rFonts w:hint="eastAsia"/>
        </w:rPr>
        <w:t>作为被动设备的传统思路，将</w:t>
      </w:r>
      <w:r w:rsidRPr="00372933">
        <w:t>TPCM</w:t>
      </w:r>
      <w:r w:rsidRPr="00372933">
        <w:rPr>
          <w:rFonts w:hint="eastAsia"/>
        </w:rPr>
        <w:t>设计为主动控制节点，实现了</w:t>
      </w:r>
      <w:r w:rsidRPr="00372933">
        <w:t>TPCM</w:t>
      </w:r>
      <w:r w:rsidRPr="00372933">
        <w:rPr>
          <w:rFonts w:hint="eastAsia"/>
        </w:rPr>
        <w:t>对整个平台的主动控制。这样，即使</w:t>
      </w:r>
      <w:r w:rsidRPr="00372933">
        <w:t>CPU</w:t>
      </w:r>
      <w:r w:rsidRPr="00372933">
        <w:rPr>
          <w:rFonts w:hint="eastAsia"/>
        </w:rPr>
        <w:t>或操作系统存在后门，攻击者也难以利用这些漏洞篡改访问控制策略。</w:t>
      </w:r>
    </w:p>
    <w:p w14:paraId="38E69698" w14:textId="410774C5" w:rsidR="00372933" w:rsidRDefault="00372933" w:rsidP="00372933">
      <w:pPr>
        <w:tabs>
          <w:tab w:val="left" w:pos="2080"/>
        </w:tabs>
      </w:pPr>
      <w:r>
        <w:rPr>
          <w:rFonts w:hint="eastAsia"/>
        </w:rPr>
        <w:t>平台的完整性报告：</w:t>
      </w:r>
    </w:p>
    <w:p w14:paraId="60E4E9C2" w14:textId="3D0E1838" w:rsidR="00372933" w:rsidRDefault="009D0785" w:rsidP="009D0785">
      <w:pPr>
        <w:tabs>
          <w:tab w:val="left" w:pos="2080"/>
        </w:tabs>
        <w:ind w:firstLineChars="400" w:firstLine="840"/>
      </w:pPr>
      <w:r w:rsidRPr="009D0785">
        <w:t>TPCM</w:t>
      </w:r>
      <w:r w:rsidRPr="009D0785">
        <w:rPr>
          <w:rFonts w:hint="eastAsia"/>
        </w:rPr>
        <w:t>在平台完整性度量结束后，对度量结果进行比较，同时还将错误的度量结果通过触发中断方式主动报告给平台；而</w:t>
      </w:r>
      <w:r w:rsidRPr="009D0785">
        <w:t>TPM</w:t>
      </w:r>
      <w:r w:rsidRPr="009D0785">
        <w:rPr>
          <w:rFonts w:hint="eastAsia"/>
        </w:rPr>
        <w:t>的完整性报告方案不对度量结果进行比较，只将度量结果存储在</w:t>
      </w:r>
      <w:r w:rsidRPr="009D0785">
        <w:t>PCR</w:t>
      </w:r>
      <w:r w:rsidRPr="009D0785">
        <w:rPr>
          <w:rFonts w:hint="eastAsia"/>
        </w:rPr>
        <w:t>寄存器中。</w:t>
      </w:r>
    </w:p>
    <w:p w14:paraId="21B62D14" w14:textId="4AC1BC57" w:rsidR="00372933" w:rsidRPr="009D0785" w:rsidRDefault="009D0785" w:rsidP="00372933">
      <w:pPr>
        <w:tabs>
          <w:tab w:val="left" w:pos="2080"/>
        </w:tabs>
      </w:pPr>
      <w:r>
        <w:rPr>
          <w:rFonts w:hint="eastAsia"/>
        </w:rPr>
        <w:t>控制功能：</w:t>
      </w:r>
    </w:p>
    <w:p w14:paraId="342E6A61" w14:textId="77777777" w:rsidR="009D0785" w:rsidRPr="009D0785" w:rsidRDefault="009D0785" w:rsidP="009D0785">
      <w:pPr>
        <w:numPr>
          <w:ilvl w:val="0"/>
          <w:numId w:val="8"/>
        </w:numPr>
        <w:tabs>
          <w:tab w:val="left" w:pos="2080"/>
        </w:tabs>
      </w:pPr>
      <w:r w:rsidRPr="009D0785">
        <w:t>TPCM</w:t>
      </w:r>
      <w:r w:rsidRPr="009D0785">
        <w:rPr>
          <w:rFonts w:hint="eastAsia"/>
        </w:rPr>
        <w:t>可以通过检查硬件设备的可执行程序、控制策略配置信息、工作模式配置信息和</w:t>
      </w:r>
      <w:r w:rsidRPr="009D0785">
        <w:t xml:space="preserve">Option ROM </w:t>
      </w:r>
      <w:r w:rsidRPr="009D0785">
        <w:rPr>
          <w:rFonts w:hint="eastAsia"/>
        </w:rPr>
        <w:t>的完整性，以及当前硬件电路的工作状态，判断硬件设备的可信性；同时，</w:t>
      </w:r>
      <w:r w:rsidRPr="009D0785">
        <w:t xml:space="preserve">TPCM </w:t>
      </w:r>
      <w:r w:rsidRPr="009D0785">
        <w:rPr>
          <w:rFonts w:hint="eastAsia"/>
        </w:rPr>
        <w:t>还可以通过配置、切换控制策略和工作模式配置信息，实现对硬件设备的控制功能。而</w:t>
      </w:r>
      <w:r w:rsidRPr="009D0785">
        <w:t>TPM</w:t>
      </w:r>
      <w:r w:rsidRPr="009D0785">
        <w:rPr>
          <w:rFonts w:hint="eastAsia"/>
        </w:rPr>
        <w:t>储存当前硬件设备的度量信息，无法像</w:t>
      </w:r>
      <w:r w:rsidRPr="009D0785">
        <w:t>TPCM</w:t>
      </w:r>
      <w:r w:rsidRPr="009D0785">
        <w:rPr>
          <w:rFonts w:hint="eastAsia"/>
        </w:rPr>
        <w:t>一样实现根据度量结果的主控控制；此外，由于平台借助操作系统实现对硬件系统的控制，会导致平台控制系统的安全隐患。</w:t>
      </w:r>
    </w:p>
    <w:p w14:paraId="4E3ACD51" w14:textId="092E6110" w:rsidR="00372933" w:rsidRDefault="009D0785" w:rsidP="00372933">
      <w:pPr>
        <w:tabs>
          <w:tab w:val="left" w:pos="2080"/>
        </w:tabs>
      </w:pPr>
      <w:r>
        <w:rPr>
          <w:rFonts w:hint="eastAsia"/>
        </w:rPr>
        <w:t>可信密码功能：</w:t>
      </w:r>
    </w:p>
    <w:p w14:paraId="7B978A1B" w14:textId="77777777" w:rsidR="009D0785" w:rsidRPr="009D0785" w:rsidRDefault="009D0785" w:rsidP="009D0785">
      <w:pPr>
        <w:numPr>
          <w:ilvl w:val="0"/>
          <w:numId w:val="9"/>
        </w:numPr>
        <w:tabs>
          <w:tab w:val="left" w:pos="2080"/>
        </w:tabs>
      </w:pPr>
      <w:r w:rsidRPr="009D0785">
        <w:rPr>
          <w:rFonts w:hint="eastAsia"/>
        </w:rPr>
        <w:t>国际上，</w:t>
      </w:r>
      <w:r w:rsidRPr="009D0785">
        <w:t>TCG</w:t>
      </w:r>
      <w:r w:rsidRPr="009D0785">
        <w:rPr>
          <w:rFonts w:hint="eastAsia"/>
        </w:rPr>
        <w:t>在</w:t>
      </w:r>
      <w:r w:rsidRPr="009D0785">
        <w:t>TPM2.0</w:t>
      </w:r>
      <w:r w:rsidRPr="009D0785">
        <w:rPr>
          <w:rFonts w:hint="eastAsia"/>
        </w:rPr>
        <w:t>之前的标准中，公钥密码算法只采用了</w:t>
      </w:r>
      <w:r w:rsidRPr="009D0785">
        <w:t>RSA</w:t>
      </w:r>
      <w:r w:rsidRPr="009D0785">
        <w:rPr>
          <w:rFonts w:hint="eastAsia"/>
        </w:rPr>
        <w:t>，杂凑算法只支持</w:t>
      </w:r>
      <w:r w:rsidRPr="009D0785">
        <w:t>SHA1</w:t>
      </w:r>
      <w:r w:rsidRPr="009D0785">
        <w:rPr>
          <w:rFonts w:hint="eastAsia"/>
        </w:rPr>
        <w:t>系列，回避了对称密码。由此导致密钥管理、密钥迁移和授权协议的设计复杂化（</w:t>
      </w:r>
      <w:r w:rsidRPr="009D0785">
        <w:t>5</w:t>
      </w:r>
      <w:r w:rsidRPr="009D0785">
        <w:rPr>
          <w:rFonts w:hint="eastAsia"/>
        </w:rPr>
        <w:t>类证书，</w:t>
      </w:r>
      <w:r w:rsidRPr="009D0785">
        <w:t>7</w:t>
      </w:r>
      <w:r w:rsidRPr="009D0785">
        <w:rPr>
          <w:rFonts w:hint="eastAsia"/>
        </w:rPr>
        <w:t>类密钥），也直接威胁着密码的安全。我国的可信计算密码标准主要在</w:t>
      </w:r>
      <w:r w:rsidRPr="009D0785">
        <w:t>3</w:t>
      </w:r>
      <w:r w:rsidRPr="009D0785">
        <w:rPr>
          <w:rFonts w:hint="eastAsia"/>
        </w:rPr>
        <w:t>个方面体现了自主创新：</w:t>
      </w:r>
    </w:p>
    <w:p w14:paraId="7F9A2ADC" w14:textId="77777777" w:rsidR="009D0785" w:rsidRPr="009D0785" w:rsidRDefault="009D0785" w:rsidP="009D0785">
      <w:pPr>
        <w:numPr>
          <w:ilvl w:val="0"/>
          <w:numId w:val="9"/>
        </w:numPr>
        <w:tabs>
          <w:tab w:val="left" w:pos="2080"/>
        </w:tabs>
      </w:pPr>
      <w:r w:rsidRPr="009D0785">
        <w:rPr>
          <w:rFonts w:hint="eastAsia"/>
        </w:rPr>
        <w:t>在密码算法上，全部采用国有自主设计的算法，定义了可信计算密码模块（</w:t>
      </w:r>
      <w:r w:rsidRPr="009D0785">
        <w:t>TCM</w:t>
      </w:r>
      <w:r w:rsidRPr="009D0785">
        <w:rPr>
          <w:rFonts w:hint="eastAsia"/>
        </w:rPr>
        <w:t>）；</w:t>
      </w:r>
    </w:p>
    <w:p w14:paraId="586B4044" w14:textId="77777777" w:rsidR="009D0785" w:rsidRPr="009D0785" w:rsidRDefault="009D0785" w:rsidP="009D0785">
      <w:pPr>
        <w:numPr>
          <w:ilvl w:val="0"/>
          <w:numId w:val="9"/>
        </w:numPr>
        <w:tabs>
          <w:tab w:val="left" w:pos="2080"/>
        </w:tabs>
      </w:pPr>
      <w:r w:rsidRPr="009D0785">
        <w:rPr>
          <w:rFonts w:hint="eastAsia"/>
        </w:rPr>
        <w:t>在密码机制上，采用对称和非对称密码相结合体制，提高了安全性和效率；</w:t>
      </w:r>
    </w:p>
    <w:p w14:paraId="258D64C5" w14:textId="77777777" w:rsidR="009D0785" w:rsidRPr="009D0785" w:rsidRDefault="009D0785" w:rsidP="009D0785">
      <w:pPr>
        <w:numPr>
          <w:ilvl w:val="0"/>
          <w:numId w:val="9"/>
        </w:numPr>
        <w:tabs>
          <w:tab w:val="left" w:pos="2080"/>
        </w:tabs>
      </w:pPr>
      <w:r w:rsidRPr="009D0785">
        <w:rPr>
          <w:rFonts w:hint="eastAsia"/>
        </w:rPr>
        <w:t>在证书结构上，采用双证书体系（平台证书和用户证书），简化证书管理，提高了可用性和客观性。</w:t>
      </w:r>
    </w:p>
    <w:p w14:paraId="3C5F9AE8" w14:textId="77777777" w:rsidR="009D0785" w:rsidRPr="009D0785" w:rsidRDefault="009D0785" w:rsidP="009D0785">
      <w:pPr>
        <w:tabs>
          <w:tab w:val="left" w:pos="2080"/>
        </w:tabs>
      </w:pPr>
      <w:r w:rsidRPr="009D0785">
        <w:rPr>
          <w:rFonts w:hint="eastAsia"/>
        </w:rPr>
        <w:t>目前，这</w:t>
      </w:r>
      <w:r w:rsidRPr="009D0785">
        <w:t>3</w:t>
      </w:r>
      <w:r w:rsidRPr="009D0785">
        <w:rPr>
          <w:rFonts w:hint="eastAsia"/>
        </w:rPr>
        <w:t>个方面已被</w:t>
      </w:r>
      <w:r w:rsidRPr="009D0785">
        <w:t>TCG</w:t>
      </w:r>
      <w:r w:rsidRPr="009D0785">
        <w:rPr>
          <w:rFonts w:hint="eastAsia"/>
        </w:rPr>
        <w:t>组织吸收，并在</w:t>
      </w:r>
      <w:r w:rsidRPr="009D0785">
        <w:t>TPM2.0</w:t>
      </w:r>
      <w:r w:rsidRPr="009D0785">
        <w:rPr>
          <w:rFonts w:hint="eastAsia"/>
        </w:rPr>
        <w:t>标准中有所体现。</w:t>
      </w:r>
      <w:r w:rsidRPr="009D0785">
        <w:t>TPCM</w:t>
      </w:r>
      <w:r w:rsidRPr="009D0785">
        <w:rPr>
          <w:rFonts w:hint="eastAsia"/>
        </w:rPr>
        <w:t>中非对称密码算法采用椭圆曲线密码算法</w:t>
      </w:r>
      <w:r w:rsidRPr="009D0785">
        <w:t>SM2</w:t>
      </w:r>
      <w:r w:rsidRPr="009D0785">
        <w:rPr>
          <w:rFonts w:hint="eastAsia"/>
        </w:rPr>
        <w:t>，对称密码算法采用</w:t>
      </w:r>
      <w:r w:rsidRPr="009D0785">
        <w:t>SM4</w:t>
      </w:r>
      <w:r w:rsidRPr="009D0785">
        <w:rPr>
          <w:rFonts w:hint="eastAsia"/>
        </w:rPr>
        <w:t>，杂凑算法采用</w:t>
      </w:r>
      <w:r w:rsidRPr="009D0785">
        <w:t>SM3</w:t>
      </w:r>
      <w:r w:rsidRPr="009D0785">
        <w:rPr>
          <w:rFonts w:hint="eastAsia"/>
        </w:rPr>
        <w:t>用于完整性校验。利用密码机制可以保护系统平台和用户的敏感数据。</w:t>
      </w:r>
    </w:p>
    <w:p w14:paraId="7E87EF9B" w14:textId="2E9D9A19" w:rsidR="009D0785" w:rsidRPr="009D0785" w:rsidRDefault="009D0785" w:rsidP="009D0785">
      <w:pPr>
        <w:tabs>
          <w:tab w:val="left" w:pos="2080"/>
        </w:tabs>
        <w:jc w:val="center"/>
      </w:pPr>
      <w:r>
        <w:t>05</w:t>
      </w:r>
    </w:p>
    <w:p w14:paraId="12B38CBC" w14:textId="77777777" w:rsidR="009D0785" w:rsidRDefault="009D0785" w:rsidP="009D0785">
      <w:pPr>
        <w:tabs>
          <w:tab w:val="left" w:pos="2080"/>
        </w:tabs>
      </w:pPr>
      <w:r w:rsidRPr="009D0785">
        <w:rPr>
          <w:rFonts w:hint="eastAsia"/>
        </w:rPr>
        <w:lastRenderedPageBreak/>
        <w:t>可信计算密码支撑平台是可信计算平台的重要组成部分</w:t>
      </w:r>
      <w:r w:rsidRPr="009D0785">
        <w:t xml:space="preserve">, </w:t>
      </w:r>
      <w:r w:rsidRPr="009D0785">
        <w:rPr>
          <w:rFonts w:hint="eastAsia"/>
        </w:rPr>
        <w:t>包括密码算法、密钥管理、证书管理、密码协议、密码服务等内容</w:t>
      </w:r>
      <w:r w:rsidRPr="009D0785">
        <w:t xml:space="preserve">, </w:t>
      </w:r>
      <w:r w:rsidRPr="009D0785">
        <w:rPr>
          <w:rFonts w:hint="eastAsia"/>
        </w:rPr>
        <w:t>为可信计算平台自身的完整性、身份可信性和数据安全性提供密码支持。</w:t>
      </w:r>
    </w:p>
    <w:p w14:paraId="2A550054" w14:textId="53703524" w:rsidR="009D0785" w:rsidRPr="009D0785" w:rsidRDefault="009D0785" w:rsidP="009D0785">
      <w:pPr>
        <w:tabs>
          <w:tab w:val="left" w:pos="2080"/>
        </w:tabs>
      </w:pPr>
      <w:r w:rsidRPr="009D0785">
        <w:rPr>
          <w:rFonts w:hint="eastAsia"/>
        </w:rPr>
        <w:t>可信计算密码支撑平台的产品形态主要表现为可信密码模块和可信密码服务模块。</w:t>
      </w:r>
    </w:p>
    <w:p w14:paraId="5A3ECCED" w14:textId="473CD09B" w:rsidR="009D0785" w:rsidRPr="009D0785" w:rsidRDefault="009D0785" w:rsidP="00372933">
      <w:pPr>
        <w:tabs>
          <w:tab w:val="left" w:pos="2080"/>
        </w:tabs>
      </w:pPr>
      <w:r w:rsidRPr="009D0785">
        <w:rPr>
          <w:rFonts w:hint="eastAsia"/>
        </w:rPr>
        <w:t>可信计算密码支撑平台主要由可信密码模块</w:t>
      </w:r>
      <w:r w:rsidRPr="009D0785">
        <w:t xml:space="preserve">(TCM) </w:t>
      </w:r>
      <w:r w:rsidRPr="009D0785">
        <w:rPr>
          <w:rFonts w:hint="eastAsia"/>
        </w:rPr>
        <w:t>和</w:t>
      </w:r>
      <w:r w:rsidRPr="009D0785">
        <w:t xml:space="preserve">TCM </w:t>
      </w:r>
      <w:r w:rsidRPr="009D0785">
        <w:rPr>
          <w:rFonts w:hint="eastAsia"/>
        </w:rPr>
        <w:t>服务模块</w:t>
      </w:r>
      <w:r w:rsidRPr="009D0785">
        <w:t xml:space="preserve">(TSM) </w:t>
      </w:r>
      <w:r w:rsidRPr="009D0785">
        <w:rPr>
          <w:rFonts w:hint="eastAsia"/>
        </w:rPr>
        <w:t>两大部分组成。</w:t>
      </w:r>
    </w:p>
    <w:p w14:paraId="16DC4DF5" w14:textId="352CE6E5" w:rsidR="009D0785" w:rsidRDefault="009D0785" w:rsidP="00372933">
      <w:pPr>
        <w:tabs>
          <w:tab w:val="left" w:pos="2080"/>
        </w:tabs>
      </w:pPr>
      <w:r w:rsidRPr="009D0785">
        <w:rPr>
          <w:rFonts w:hint="eastAsia"/>
        </w:rPr>
        <w:t>可信计算密码支撑平台利用密码机制</w:t>
      </w:r>
      <w:r w:rsidRPr="009D0785">
        <w:t xml:space="preserve">, </w:t>
      </w:r>
      <w:r w:rsidRPr="009D0785">
        <w:rPr>
          <w:rFonts w:hint="eastAsia"/>
        </w:rPr>
        <w:t>通过对系统平台组件的完整性度量、 存储与报告</w:t>
      </w:r>
      <w:r w:rsidRPr="009D0785">
        <w:t xml:space="preserve">, </w:t>
      </w:r>
      <w:r w:rsidRPr="009D0785">
        <w:rPr>
          <w:rFonts w:hint="eastAsia"/>
        </w:rPr>
        <w:t>确保平台完整性</w:t>
      </w:r>
    </w:p>
    <w:p w14:paraId="79DDDCF9" w14:textId="77777777" w:rsidR="009D0785" w:rsidRDefault="009D0785" w:rsidP="00372933">
      <w:pPr>
        <w:tabs>
          <w:tab w:val="left" w:pos="2080"/>
        </w:tabs>
        <w:rPr>
          <w:rFonts w:hint="eastAsia"/>
        </w:rPr>
      </w:pPr>
    </w:p>
    <w:p w14:paraId="5B55A63A" w14:textId="77777777" w:rsidR="009D0785" w:rsidRDefault="009D0785" w:rsidP="00372933">
      <w:pPr>
        <w:tabs>
          <w:tab w:val="left" w:pos="2080"/>
        </w:tabs>
      </w:pPr>
    </w:p>
    <w:p w14:paraId="72433DAE" w14:textId="77777777" w:rsidR="009D0785" w:rsidRDefault="009D0785" w:rsidP="00372933">
      <w:pPr>
        <w:tabs>
          <w:tab w:val="left" w:pos="2080"/>
        </w:tabs>
      </w:pPr>
    </w:p>
    <w:p w14:paraId="240E3395" w14:textId="77777777" w:rsidR="009D0785" w:rsidRPr="009D0785" w:rsidRDefault="009D0785" w:rsidP="00372933">
      <w:pPr>
        <w:tabs>
          <w:tab w:val="left" w:pos="2080"/>
        </w:tabs>
        <w:rPr>
          <w:rFonts w:hint="eastAsia"/>
        </w:rPr>
      </w:pPr>
    </w:p>
    <w:p w14:paraId="75174CEB" w14:textId="77777777" w:rsidR="00372933" w:rsidRDefault="00372933" w:rsidP="00372933">
      <w:pPr>
        <w:tabs>
          <w:tab w:val="left" w:pos="2080"/>
        </w:tabs>
      </w:pPr>
    </w:p>
    <w:p w14:paraId="79712925" w14:textId="77777777" w:rsidR="00372933" w:rsidRDefault="00372933" w:rsidP="00372933">
      <w:pPr>
        <w:tabs>
          <w:tab w:val="left" w:pos="2080"/>
        </w:tabs>
      </w:pPr>
    </w:p>
    <w:p w14:paraId="2C466B6A" w14:textId="77777777" w:rsidR="00372933" w:rsidRPr="008212E1" w:rsidRDefault="00372933" w:rsidP="00372933">
      <w:pPr>
        <w:tabs>
          <w:tab w:val="left" w:pos="2080"/>
        </w:tabs>
        <w:rPr>
          <w:rFonts w:hint="eastAsia"/>
        </w:rPr>
      </w:pPr>
    </w:p>
    <w:sectPr w:rsidR="00372933" w:rsidRPr="008212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35D41" w14:textId="77777777" w:rsidR="00CB5941" w:rsidRDefault="00CB5941" w:rsidP="008212E1">
      <w:r>
        <w:separator/>
      </w:r>
    </w:p>
  </w:endnote>
  <w:endnote w:type="continuationSeparator" w:id="0">
    <w:p w14:paraId="0BAD3A27" w14:textId="77777777" w:rsidR="00CB5941" w:rsidRDefault="00CB5941" w:rsidP="0082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B98BE" w14:textId="77777777" w:rsidR="00CB5941" w:rsidRDefault="00CB5941" w:rsidP="008212E1">
      <w:r>
        <w:separator/>
      </w:r>
    </w:p>
  </w:footnote>
  <w:footnote w:type="continuationSeparator" w:id="0">
    <w:p w14:paraId="797C7CCD" w14:textId="77777777" w:rsidR="00CB5941" w:rsidRDefault="00CB5941" w:rsidP="00821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6B04"/>
    <w:multiLevelType w:val="hybridMultilevel"/>
    <w:tmpl w:val="6EC28E98"/>
    <w:lvl w:ilvl="0" w:tplc="06BE0CDE">
      <w:start w:val="1"/>
      <w:numFmt w:val="bullet"/>
      <w:lvlText w:val=""/>
      <w:lvlJc w:val="left"/>
      <w:pPr>
        <w:tabs>
          <w:tab w:val="num" w:pos="720"/>
        </w:tabs>
        <w:ind w:left="720" w:hanging="360"/>
      </w:pPr>
      <w:rPr>
        <w:rFonts w:ascii="Wingdings" w:hAnsi="Wingdings" w:hint="default"/>
      </w:rPr>
    </w:lvl>
    <w:lvl w:ilvl="1" w:tplc="01A42DA2" w:tentative="1">
      <w:start w:val="1"/>
      <w:numFmt w:val="bullet"/>
      <w:lvlText w:val=""/>
      <w:lvlJc w:val="left"/>
      <w:pPr>
        <w:tabs>
          <w:tab w:val="num" w:pos="1440"/>
        </w:tabs>
        <w:ind w:left="1440" w:hanging="360"/>
      </w:pPr>
      <w:rPr>
        <w:rFonts w:ascii="Wingdings" w:hAnsi="Wingdings" w:hint="default"/>
      </w:rPr>
    </w:lvl>
    <w:lvl w:ilvl="2" w:tplc="F21CCC84" w:tentative="1">
      <w:start w:val="1"/>
      <w:numFmt w:val="bullet"/>
      <w:lvlText w:val=""/>
      <w:lvlJc w:val="left"/>
      <w:pPr>
        <w:tabs>
          <w:tab w:val="num" w:pos="2160"/>
        </w:tabs>
        <w:ind w:left="2160" w:hanging="360"/>
      </w:pPr>
      <w:rPr>
        <w:rFonts w:ascii="Wingdings" w:hAnsi="Wingdings" w:hint="default"/>
      </w:rPr>
    </w:lvl>
    <w:lvl w:ilvl="3" w:tplc="A3D0CCAE" w:tentative="1">
      <w:start w:val="1"/>
      <w:numFmt w:val="bullet"/>
      <w:lvlText w:val=""/>
      <w:lvlJc w:val="left"/>
      <w:pPr>
        <w:tabs>
          <w:tab w:val="num" w:pos="2880"/>
        </w:tabs>
        <w:ind w:left="2880" w:hanging="360"/>
      </w:pPr>
      <w:rPr>
        <w:rFonts w:ascii="Wingdings" w:hAnsi="Wingdings" w:hint="default"/>
      </w:rPr>
    </w:lvl>
    <w:lvl w:ilvl="4" w:tplc="D5DE510C" w:tentative="1">
      <w:start w:val="1"/>
      <w:numFmt w:val="bullet"/>
      <w:lvlText w:val=""/>
      <w:lvlJc w:val="left"/>
      <w:pPr>
        <w:tabs>
          <w:tab w:val="num" w:pos="3600"/>
        </w:tabs>
        <w:ind w:left="3600" w:hanging="360"/>
      </w:pPr>
      <w:rPr>
        <w:rFonts w:ascii="Wingdings" w:hAnsi="Wingdings" w:hint="default"/>
      </w:rPr>
    </w:lvl>
    <w:lvl w:ilvl="5" w:tplc="AD923C9E" w:tentative="1">
      <w:start w:val="1"/>
      <w:numFmt w:val="bullet"/>
      <w:lvlText w:val=""/>
      <w:lvlJc w:val="left"/>
      <w:pPr>
        <w:tabs>
          <w:tab w:val="num" w:pos="4320"/>
        </w:tabs>
        <w:ind w:left="4320" w:hanging="360"/>
      </w:pPr>
      <w:rPr>
        <w:rFonts w:ascii="Wingdings" w:hAnsi="Wingdings" w:hint="default"/>
      </w:rPr>
    </w:lvl>
    <w:lvl w:ilvl="6" w:tplc="0DD61B82" w:tentative="1">
      <w:start w:val="1"/>
      <w:numFmt w:val="bullet"/>
      <w:lvlText w:val=""/>
      <w:lvlJc w:val="left"/>
      <w:pPr>
        <w:tabs>
          <w:tab w:val="num" w:pos="5040"/>
        </w:tabs>
        <w:ind w:left="5040" w:hanging="360"/>
      </w:pPr>
      <w:rPr>
        <w:rFonts w:ascii="Wingdings" w:hAnsi="Wingdings" w:hint="default"/>
      </w:rPr>
    </w:lvl>
    <w:lvl w:ilvl="7" w:tplc="9CAC1DD2" w:tentative="1">
      <w:start w:val="1"/>
      <w:numFmt w:val="bullet"/>
      <w:lvlText w:val=""/>
      <w:lvlJc w:val="left"/>
      <w:pPr>
        <w:tabs>
          <w:tab w:val="num" w:pos="5760"/>
        </w:tabs>
        <w:ind w:left="5760" w:hanging="360"/>
      </w:pPr>
      <w:rPr>
        <w:rFonts w:ascii="Wingdings" w:hAnsi="Wingdings" w:hint="default"/>
      </w:rPr>
    </w:lvl>
    <w:lvl w:ilvl="8" w:tplc="62B4EE2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CE5F7D"/>
    <w:multiLevelType w:val="hybridMultilevel"/>
    <w:tmpl w:val="388EF0BC"/>
    <w:lvl w:ilvl="0" w:tplc="DD8868D2">
      <w:start w:val="1"/>
      <w:numFmt w:val="bullet"/>
      <w:lvlText w:val=""/>
      <w:lvlJc w:val="left"/>
      <w:pPr>
        <w:tabs>
          <w:tab w:val="num" w:pos="720"/>
        </w:tabs>
        <w:ind w:left="720" w:hanging="360"/>
      </w:pPr>
      <w:rPr>
        <w:rFonts w:ascii="Wingdings" w:hAnsi="Wingdings" w:hint="default"/>
      </w:rPr>
    </w:lvl>
    <w:lvl w:ilvl="1" w:tplc="9E9EBFC8" w:tentative="1">
      <w:start w:val="1"/>
      <w:numFmt w:val="bullet"/>
      <w:lvlText w:val=""/>
      <w:lvlJc w:val="left"/>
      <w:pPr>
        <w:tabs>
          <w:tab w:val="num" w:pos="1440"/>
        </w:tabs>
        <w:ind w:left="1440" w:hanging="360"/>
      </w:pPr>
      <w:rPr>
        <w:rFonts w:ascii="Wingdings" w:hAnsi="Wingdings" w:hint="default"/>
      </w:rPr>
    </w:lvl>
    <w:lvl w:ilvl="2" w:tplc="F5A45E1C" w:tentative="1">
      <w:start w:val="1"/>
      <w:numFmt w:val="bullet"/>
      <w:lvlText w:val=""/>
      <w:lvlJc w:val="left"/>
      <w:pPr>
        <w:tabs>
          <w:tab w:val="num" w:pos="2160"/>
        </w:tabs>
        <w:ind w:left="2160" w:hanging="360"/>
      </w:pPr>
      <w:rPr>
        <w:rFonts w:ascii="Wingdings" w:hAnsi="Wingdings" w:hint="default"/>
      </w:rPr>
    </w:lvl>
    <w:lvl w:ilvl="3" w:tplc="C3AE6F3C" w:tentative="1">
      <w:start w:val="1"/>
      <w:numFmt w:val="bullet"/>
      <w:lvlText w:val=""/>
      <w:lvlJc w:val="left"/>
      <w:pPr>
        <w:tabs>
          <w:tab w:val="num" w:pos="2880"/>
        </w:tabs>
        <w:ind w:left="2880" w:hanging="360"/>
      </w:pPr>
      <w:rPr>
        <w:rFonts w:ascii="Wingdings" w:hAnsi="Wingdings" w:hint="default"/>
      </w:rPr>
    </w:lvl>
    <w:lvl w:ilvl="4" w:tplc="CE80B710" w:tentative="1">
      <w:start w:val="1"/>
      <w:numFmt w:val="bullet"/>
      <w:lvlText w:val=""/>
      <w:lvlJc w:val="left"/>
      <w:pPr>
        <w:tabs>
          <w:tab w:val="num" w:pos="3600"/>
        </w:tabs>
        <w:ind w:left="3600" w:hanging="360"/>
      </w:pPr>
      <w:rPr>
        <w:rFonts w:ascii="Wingdings" w:hAnsi="Wingdings" w:hint="default"/>
      </w:rPr>
    </w:lvl>
    <w:lvl w:ilvl="5" w:tplc="5582CBBC" w:tentative="1">
      <w:start w:val="1"/>
      <w:numFmt w:val="bullet"/>
      <w:lvlText w:val=""/>
      <w:lvlJc w:val="left"/>
      <w:pPr>
        <w:tabs>
          <w:tab w:val="num" w:pos="4320"/>
        </w:tabs>
        <w:ind w:left="4320" w:hanging="360"/>
      </w:pPr>
      <w:rPr>
        <w:rFonts w:ascii="Wingdings" w:hAnsi="Wingdings" w:hint="default"/>
      </w:rPr>
    </w:lvl>
    <w:lvl w:ilvl="6" w:tplc="7962328A" w:tentative="1">
      <w:start w:val="1"/>
      <w:numFmt w:val="bullet"/>
      <w:lvlText w:val=""/>
      <w:lvlJc w:val="left"/>
      <w:pPr>
        <w:tabs>
          <w:tab w:val="num" w:pos="5040"/>
        </w:tabs>
        <w:ind w:left="5040" w:hanging="360"/>
      </w:pPr>
      <w:rPr>
        <w:rFonts w:ascii="Wingdings" w:hAnsi="Wingdings" w:hint="default"/>
      </w:rPr>
    </w:lvl>
    <w:lvl w:ilvl="7" w:tplc="460EFFAC" w:tentative="1">
      <w:start w:val="1"/>
      <w:numFmt w:val="bullet"/>
      <w:lvlText w:val=""/>
      <w:lvlJc w:val="left"/>
      <w:pPr>
        <w:tabs>
          <w:tab w:val="num" w:pos="5760"/>
        </w:tabs>
        <w:ind w:left="5760" w:hanging="360"/>
      </w:pPr>
      <w:rPr>
        <w:rFonts w:ascii="Wingdings" w:hAnsi="Wingdings" w:hint="default"/>
      </w:rPr>
    </w:lvl>
    <w:lvl w:ilvl="8" w:tplc="2FDC7C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A04819"/>
    <w:multiLevelType w:val="hybridMultilevel"/>
    <w:tmpl w:val="3EA82DFA"/>
    <w:lvl w:ilvl="0" w:tplc="17323F7C">
      <w:start w:val="1"/>
      <w:numFmt w:val="decimal"/>
      <w:lvlText w:val="%1)"/>
      <w:lvlJc w:val="left"/>
      <w:pPr>
        <w:tabs>
          <w:tab w:val="num" w:pos="720"/>
        </w:tabs>
        <w:ind w:left="720" w:hanging="360"/>
      </w:pPr>
    </w:lvl>
    <w:lvl w:ilvl="1" w:tplc="C930A8DE">
      <w:start w:val="1"/>
      <w:numFmt w:val="decimal"/>
      <w:lvlText w:val="%2)"/>
      <w:lvlJc w:val="left"/>
      <w:pPr>
        <w:tabs>
          <w:tab w:val="num" w:pos="1440"/>
        </w:tabs>
        <w:ind w:left="1440" w:hanging="360"/>
      </w:pPr>
    </w:lvl>
    <w:lvl w:ilvl="2" w:tplc="E93A02D4">
      <w:start w:val="1"/>
      <w:numFmt w:val="decimal"/>
      <w:lvlText w:val="%3)"/>
      <w:lvlJc w:val="left"/>
      <w:pPr>
        <w:tabs>
          <w:tab w:val="num" w:pos="2160"/>
        </w:tabs>
        <w:ind w:left="2160" w:hanging="360"/>
      </w:pPr>
    </w:lvl>
    <w:lvl w:ilvl="3" w:tplc="E04EAE00">
      <w:start w:val="1"/>
      <w:numFmt w:val="decimal"/>
      <w:lvlText w:val="%4)"/>
      <w:lvlJc w:val="left"/>
      <w:pPr>
        <w:tabs>
          <w:tab w:val="num" w:pos="2880"/>
        </w:tabs>
        <w:ind w:left="2880" w:hanging="360"/>
      </w:pPr>
    </w:lvl>
    <w:lvl w:ilvl="4" w:tplc="B75CB796" w:tentative="1">
      <w:start w:val="1"/>
      <w:numFmt w:val="decimal"/>
      <w:lvlText w:val="%5)"/>
      <w:lvlJc w:val="left"/>
      <w:pPr>
        <w:tabs>
          <w:tab w:val="num" w:pos="3600"/>
        </w:tabs>
        <w:ind w:left="3600" w:hanging="360"/>
      </w:pPr>
    </w:lvl>
    <w:lvl w:ilvl="5" w:tplc="89AAD428" w:tentative="1">
      <w:start w:val="1"/>
      <w:numFmt w:val="decimal"/>
      <w:lvlText w:val="%6)"/>
      <w:lvlJc w:val="left"/>
      <w:pPr>
        <w:tabs>
          <w:tab w:val="num" w:pos="4320"/>
        </w:tabs>
        <w:ind w:left="4320" w:hanging="360"/>
      </w:pPr>
    </w:lvl>
    <w:lvl w:ilvl="6" w:tplc="8612E790" w:tentative="1">
      <w:start w:val="1"/>
      <w:numFmt w:val="decimal"/>
      <w:lvlText w:val="%7)"/>
      <w:lvlJc w:val="left"/>
      <w:pPr>
        <w:tabs>
          <w:tab w:val="num" w:pos="5040"/>
        </w:tabs>
        <w:ind w:left="5040" w:hanging="360"/>
      </w:pPr>
    </w:lvl>
    <w:lvl w:ilvl="7" w:tplc="39E4347A" w:tentative="1">
      <w:start w:val="1"/>
      <w:numFmt w:val="decimal"/>
      <w:lvlText w:val="%8)"/>
      <w:lvlJc w:val="left"/>
      <w:pPr>
        <w:tabs>
          <w:tab w:val="num" w:pos="5760"/>
        </w:tabs>
        <w:ind w:left="5760" w:hanging="360"/>
      </w:pPr>
    </w:lvl>
    <w:lvl w:ilvl="8" w:tplc="AD16D158" w:tentative="1">
      <w:start w:val="1"/>
      <w:numFmt w:val="decimal"/>
      <w:lvlText w:val="%9)"/>
      <w:lvlJc w:val="left"/>
      <w:pPr>
        <w:tabs>
          <w:tab w:val="num" w:pos="6480"/>
        </w:tabs>
        <w:ind w:left="6480" w:hanging="360"/>
      </w:pPr>
    </w:lvl>
  </w:abstractNum>
  <w:abstractNum w:abstractNumId="3" w15:restartNumberingAfterBreak="0">
    <w:nsid w:val="30642243"/>
    <w:multiLevelType w:val="hybridMultilevel"/>
    <w:tmpl w:val="3A04365E"/>
    <w:lvl w:ilvl="0" w:tplc="0D6C34B2">
      <w:start w:val="1"/>
      <w:numFmt w:val="bullet"/>
      <w:lvlText w:val=""/>
      <w:lvlJc w:val="left"/>
      <w:pPr>
        <w:tabs>
          <w:tab w:val="num" w:pos="720"/>
        </w:tabs>
        <w:ind w:left="720" w:hanging="360"/>
      </w:pPr>
      <w:rPr>
        <w:rFonts w:ascii="Wingdings" w:hAnsi="Wingdings" w:hint="default"/>
      </w:rPr>
    </w:lvl>
    <w:lvl w:ilvl="1" w:tplc="FAD8C7D0" w:tentative="1">
      <w:start w:val="1"/>
      <w:numFmt w:val="bullet"/>
      <w:lvlText w:val=""/>
      <w:lvlJc w:val="left"/>
      <w:pPr>
        <w:tabs>
          <w:tab w:val="num" w:pos="1440"/>
        </w:tabs>
        <w:ind w:left="1440" w:hanging="360"/>
      </w:pPr>
      <w:rPr>
        <w:rFonts w:ascii="Wingdings" w:hAnsi="Wingdings" w:hint="default"/>
      </w:rPr>
    </w:lvl>
    <w:lvl w:ilvl="2" w:tplc="2E5A9756" w:tentative="1">
      <w:start w:val="1"/>
      <w:numFmt w:val="bullet"/>
      <w:lvlText w:val=""/>
      <w:lvlJc w:val="left"/>
      <w:pPr>
        <w:tabs>
          <w:tab w:val="num" w:pos="2160"/>
        </w:tabs>
        <w:ind w:left="2160" w:hanging="360"/>
      </w:pPr>
      <w:rPr>
        <w:rFonts w:ascii="Wingdings" w:hAnsi="Wingdings" w:hint="default"/>
      </w:rPr>
    </w:lvl>
    <w:lvl w:ilvl="3" w:tplc="6AC22FD6" w:tentative="1">
      <w:start w:val="1"/>
      <w:numFmt w:val="bullet"/>
      <w:lvlText w:val=""/>
      <w:lvlJc w:val="left"/>
      <w:pPr>
        <w:tabs>
          <w:tab w:val="num" w:pos="2880"/>
        </w:tabs>
        <w:ind w:left="2880" w:hanging="360"/>
      </w:pPr>
      <w:rPr>
        <w:rFonts w:ascii="Wingdings" w:hAnsi="Wingdings" w:hint="default"/>
      </w:rPr>
    </w:lvl>
    <w:lvl w:ilvl="4" w:tplc="8E8CFC9C" w:tentative="1">
      <w:start w:val="1"/>
      <w:numFmt w:val="bullet"/>
      <w:lvlText w:val=""/>
      <w:lvlJc w:val="left"/>
      <w:pPr>
        <w:tabs>
          <w:tab w:val="num" w:pos="3600"/>
        </w:tabs>
        <w:ind w:left="3600" w:hanging="360"/>
      </w:pPr>
      <w:rPr>
        <w:rFonts w:ascii="Wingdings" w:hAnsi="Wingdings" w:hint="default"/>
      </w:rPr>
    </w:lvl>
    <w:lvl w:ilvl="5" w:tplc="AA7A7BE6" w:tentative="1">
      <w:start w:val="1"/>
      <w:numFmt w:val="bullet"/>
      <w:lvlText w:val=""/>
      <w:lvlJc w:val="left"/>
      <w:pPr>
        <w:tabs>
          <w:tab w:val="num" w:pos="4320"/>
        </w:tabs>
        <w:ind w:left="4320" w:hanging="360"/>
      </w:pPr>
      <w:rPr>
        <w:rFonts w:ascii="Wingdings" w:hAnsi="Wingdings" w:hint="default"/>
      </w:rPr>
    </w:lvl>
    <w:lvl w:ilvl="6" w:tplc="81FAD83C" w:tentative="1">
      <w:start w:val="1"/>
      <w:numFmt w:val="bullet"/>
      <w:lvlText w:val=""/>
      <w:lvlJc w:val="left"/>
      <w:pPr>
        <w:tabs>
          <w:tab w:val="num" w:pos="5040"/>
        </w:tabs>
        <w:ind w:left="5040" w:hanging="360"/>
      </w:pPr>
      <w:rPr>
        <w:rFonts w:ascii="Wingdings" w:hAnsi="Wingdings" w:hint="default"/>
      </w:rPr>
    </w:lvl>
    <w:lvl w:ilvl="7" w:tplc="2A36ADF6" w:tentative="1">
      <w:start w:val="1"/>
      <w:numFmt w:val="bullet"/>
      <w:lvlText w:val=""/>
      <w:lvlJc w:val="left"/>
      <w:pPr>
        <w:tabs>
          <w:tab w:val="num" w:pos="5760"/>
        </w:tabs>
        <w:ind w:left="5760" w:hanging="360"/>
      </w:pPr>
      <w:rPr>
        <w:rFonts w:ascii="Wingdings" w:hAnsi="Wingdings" w:hint="default"/>
      </w:rPr>
    </w:lvl>
    <w:lvl w:ilvl="8" w:tplc="6C429BE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617CDC"/>
    <w:multiLevelType w:val="hybridMultilevel"/>
    <w:tmpl w:val="AE78DEA8"/>
    <w:lvl w:ilvl="0" w:tplc="89BEACD0">
      <w:start w:val="1"/>
      <w:numFmt w:val="bullet"/>
      <w:lvlText w:val=""/>
      <w:lvlJc w:val="left"/>
      <w:pPr>
        <w:tabs>
          <w:tab w:val="num" w:pos="720"/>
        </w:tabs>
        <w:ind w:left="720" w:hanging="360"/>
      </w:pPr>
      <w:rPr>
        <w:rFonts w:ascii="Wingdings" w:hAnsi="Wingdings" w:hint="default"/>
      </w:rPr>
    </w:lvl>
    <w:lvl w:ilvl="1" w:tplc="475AC3DC" w:tentative="1">
      <w:start w:val="1"/>
      <w:numFmt w:val="bullet"/>
      <w:lvlText w:val=""/>
      <w:lvlJc w:val="left"/>
      <w:pPr>
        <w:tabs>
          <w:tab w:val="num" w:pos="1440"/>
        </w:tabs>
        <w:ind w:left="1440" w:hanging="360"/>
      </w:pPr>
      <w:rPr>
        <w:rFonts w:ascii="Wingdings" w:hAnsi="Wingdings" w:hint="default"/>
      </w:rPr>
    </w:lvl>
    <w:lvl w:ilvl="2" w:tplc="49D846BA" w:tentative="1">
      <w:start w:val="1"/>
      <w:numFmt w:val="bullet"/>
      <w:lvlText w:val=""/>
      <w:lvlJc w:val="left"/>
      <w:pPr>
        <w:tabs>
          <w:tab w:val="num" w:pos="2160"/>
        </w:tabs>
        <w:ind w:left="2160" w:hanging="360"/>
      </w:pPr>
      <w:rPr>
        <w:rFonts w:ascii="Wingdings" w:hAnsi="Wingdings" w:hint="default"/>
      </w:rPr>
    </w:lvl>
    <w:lvl w:ilvl="3" w:tplc="DE225A18" w:tentative="1">
      <w:start w:val="1"/>
      <w:numFmt w:val="bullet"/>
      <w:lvlText w:val=""/>
      <w:lvlJc w:val="left"/>
      <w:pPr>
        <w:tabs>
          <w:tab w:val="num" w:pos="2880"/>
        </w:tabs>
        <w:ind w:left="2880" w:hanging="360"/>
      </w:pPr>
      <w:rPr>
        <w:rFonts w:ascii="Wingdings" w:hAnsi="Wingdings" w:hint="default"/>
      </w:rPr>
    </w:lvl>
    <w:lvl w:ilvl="4" w:tplc="B2CE0EB2" w:tentative="1">
      <w:start w:val="1"/>
      <w:numFmt w:val="bullet"/>
      <w:lvlText w:val=""/>
      <w:lvlJc w:val="left"/>
      <w:pPr>
        <w:tabs>
          <w:tab w:val="num" w:pos="3600"/>
        </w:tabs>
        <w:ind w:left="3600" w:hanging="360"/>
      </w:pPr>
      <w:rPr>
        <w:rFonts w:ascii="Wingdings" w:hAnsi="Wingdings" w:hint="default"/>
      </w:rPr>
    </w:lvl>
    <w:lvl w:ilvl="5" w:tplc="04521D72" w:tentative="1">
      <w:start w:val="1"/>
      <w:numFmt w:val="bullet"/>
      <w:lvlText w:val=""/>
      <w:lvlJc w:val="left"/>
      <w:pPr>
        <w:tabs>
          <w:tab w:val="num" w:pos="4320"/>
        </w:tabs>
        <w:ind w:left="4320" w:hanging="360"/>
      </w:pPr>
      <w:rPr>
        <w:rFonts w:ascii="Wingdings" w:hAnsi="Wingdings" w:hint="default"/>
      </w:rPr>
    </w:lvl>
    <w:lvl w:ilvl="6" w:tplc="1BEE010E" w:tentative="1">
      <w:start w:val="1"/>
      <w:numFmt w:val="bullet"/>
      <w:lvlText w:val=""/>
      <w:lvlJc w:val="left"/>
      <w:pPr>
        <w:tabs>
          <w:tab w:val="num" w:pos="5040"/>
        </w:tabs>
        <w:ind w:left="5040" w:hanging="360"/>
      </w:pPr>
      <w:rPr>
        <w:rFonts w:ascii="Wingdings" w:hAnsi="Wingdings" w:hint="default"/>
      </w:rPr>
    </w:lvl>
    <w:lvl w:ilvl="7" w:tplc="C2EA2094" w:tentative="1">
      <w:start w:val="1"/>
      <w:numFmt w:val="bullet"/>
      <w:lvlText w:val=""/>
      <w:lvlJc w:val="left"/>
      <w:pPr>
        <w:tabs>
          <w:tab w:val="num" w:pos="5760"/>
        </w:tabs>
        <w:ind w:left="5760" w:hanging="360"/>
      </w:pPr>
      <w:rPr>
        <w:rFonts w:ascii="Wingdings" w:hAnsi="Wingdings" w:hint="default"/>
      </w:rPr>
    </w:lvl>
    <w:lvl w:ilvl="8" w:tplc="10E6A0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394A82"/>
    <w:multiLevelType w:val="hybridMultilevel"/>
    <w:tmpl w:val="617C4520"/>
    <w:lvl w:ilvl="0" w:tplc="67686230">
      <w:start w:val="1"/>
      <w:numFmt w:val="bullet"/>
      <w:lvlText w:val=""/>
      <w:lvlJc w:val="left"/>
      <w:pPr>
        <w:tabs>
          <w:tab w:val="num" w:pos="720"/>
        </w:tabs>
        <w:ind w:left="720" w:hanging="360"/>
      </w:pPr>
      <w:rPr>
        <w:rFonts w:ascii="Wingdings" w:hAnsi="Wingdings" w:hint="default"/>
      </w:rPr>
    </w:lvl>
    <w:lvl w:ilvl="1" w:tplc="2418142E" w:tentative="1">
      <w:start w:val="1"/>
      <w:numFmt w:val="bullet"/>
      <w:lvlText w:val=""/>
      <w:lvlJc w:val="left"/>
      <w:pPr>
        <w:tabs>
          <w:tab w:val="num" w:pos="1440"/>
        </w:tabs>
        <w:ind w:left="1440" w:hanging="360"/>
      </w:pPr>
      <w:rPr>
        <w:rFonts w:ascii="Wingdings" w:hAnsi="Wingdings" w:hint="default"/>
      </w:rPr>
    </w:lvl>
    <w:lvl w:ilvl="2" w:tplc="AF60629A" w:tentative="1">
      <w:start w:val="1"/>
      <w:numFmt w:val="bullet"/>
      <w:lvlText w:val=""/>
      <w:lvlJc w:val="left"/>
      <w:pPr>
        <w:tabs>
          <w:tab w:val="num" w:pos="2160"/>
        </w:tabs>
        <w:ind w:left="2160" w:hanging="360"/>
      </w:pPr>
      <w:rPr>
        <w:rFonts w:ascii="Wingdings" w:hAnsi="Wingdings" w:hint="default"/>
      </w:rPr>
    </w:lvl>
    <w:lvl w:ilvl="3" w:tplc="476A1AB6" w:tentative="1">
      <w:start w:val="1"/>
      <w:numFmt w:val="bullet"/>
      <w:lvlText w:val=""/>
      <w:lvlJc w:val="left"/>
      <w:pPr>
        <w:tabs>
          <w:tab w:val="num" w:pos="2880"/>
        </w:tabs>
        <w:ind w:left="2880" w:hanging="360"/>
      </w:pPr>
      <w:rPr>
        <w:rFonts w:ascii="Wingdings" w:hAnsi="Wingdings" w:hint="default"/>
      </w:rPr>
    </w:lvl>
    <w:lvl w:ilvl="4" w:tplc="197AB58A" w:tentative="1">
      <w:start w:val="1"/>
      <w:numFmt w:val="bullet"/>
      <w:lvlText w:val=""/>
      <w:lvlJc w:val="left"/>
      <w:pPr>
        <w:tabs>
          <w:tab w:val="num" w:pos="3600"/>
        </w:tabs>
        <w:ind w:left="3600" w:hanging="360"/>
      </w:pPr>
      <w:rPr>
        <w:rFonts w:ascii="Wingdings" w:hAnsi="Wingdings" w:hint="default"/>
      </w:rPr>
    </w:lvl>
    <w:lvl w:ilvl="5" w:tplc="E910C0AC" w:tentative="1">
      <w:start w:val="1"/>
      <w:numFmt w:val="bullet"/>
      <w:lvlText w:val=""/>
      <w:lvlJc w:val="left"/>
      <w:pPr>
        <w:tabs>
          <w:tab w:val="num" w:pos="4320"/>
        </w:tabs>
        <w:ind w:left="4320" w:hanging="360"/>
      </w:pPr>
      <w:rPr>
        <w:rFonts w:ascii="Wingdings" w:hAnsi="Wingdings" w:hint="default"/>
      </w:rPr>
    </w:lvl>
    <w:lvl w:ilvl="6" w:tplc="1E343114" w:tentative="1">
      <w:start w:val="1"/>
      <w:numFmt w:val="bullet"/>
      <w:lvlText w:val=""/>
      <w:lvlJc w:val="left"/>
      <w:pPr>
        <w:tabs>
          <w:tab w:val="num" w:pos="5040"/>
        </w:tabs>
        <w:ind w:left="5040" w:hanging="360"/>
      </w:pPr>
      <w:rPr>
        <w:rFonts w:ascii="Wingdings" w:hAnsi="Wingdings" w:hint="default"/>
      </w:rPr>
    </w:lvl>
    <w:lvl w:ilvl="7" w:tplc="463E0946" w:tentative="1">
      <w:start w:val="1"/>
      <w:numFmt w:val="bullet"/>
      <w:lvlText w:val=""/>
      <w:lvlJc w:val="left"/>
      <w:pPr>
        <w:tabs>
          <w:tab w:val="num" w:pos="5760"/>
        </w:tabs>
        <w:ind w:left="5760" w:hanging="360"/>
      </w:pPr>
      <w:rPr>
        <w:rFonts w:ascii="Wingdings" w:hAnsi="Wingdings" w:hint="default"/>
      </w:rPr>
    </w:lvl>
    <w:lvl w:ilvl="8" w:tplc="23F4C21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3407BE"/>
    <w:multiLevelType w:val="hybridMultilevel"/>
    <w:tmpl w:val="4C54ABF0"/>
    <w:lvl w:ilvl="0" w:tplc="890ABB86">
      <w:start w:val="1"/>
      <w:numFmt w:val="bullet"/>
      <w:lvlText w:val=""/>
      <w:lvlJc w:val="left"/>
      <w:pPr>
        <w:tabs>
          <w:tab w:val="num" w:pos="720"/>
        </w:tabs>
        <w:ind w:left="720" w:hanging="360"/>
      </w:pPr>
      <w:rPr>
        <w:rFonts w:ascii="Wingdings" w:hAnsi="Wingdings" w:hint="default"/>
      </w:rPr>
    </w:lvl>
    <w:lvl w:ilvl="1" w:tplc="81F4CEB4" w:tentative="1">
      <w:start w:val="1"/>
      <w:numFmt w:val="bullet"/>
      <w:lvlText w:val=""/>
      <w:lvlJc w:val="left"/>
      <w:pPr>
        <w:tabs>
          <w:tab w:val="num" w:pos="1440"/>
        </w:tabs>
        <w:ind w:left="1440" w:hanging="360"/>
      </w:pPr>
      <w:rPr>
        <w:rFonts w:ascii="Wingdings" w:hAnsi="Wingdings" w:hint="default"/>
      </w:rPr>
    </w:lvl>
    <w:lvl w:ilvl="2" w:tplc="8DC8CB62" w:tentative="1">
      <w:start w:val="1"/>
      <w:numFmt w:val="bullet"/>
      <w:lvlText w:val=""/>
      <w:lvlJc w:val="left"/>
      <w:pPr>
        <w:tabs>
          <w:tab w:val="num" w:pos="2160"/>
        </w:tabs>
        <w:ind w:left="2160" w:hanging="360"/>
      </w:pPr>
      <w:rPr>
        <w:rFonts w:ascii="Wingdings" w:hAnsi="Wingdings" w:hint="default"/>
      </w:rPr>
    </w:lvl>
    <w:lvl w:ilvl="3" w:tplc="F20EBDF0" w:tentative="1">
      <w:start w:val="1"/>
      <w:numFmt w:val="bullet"/>
      <w:lvlText w:val=""/>
      <w:lvlJc w:val="left"/>
      <w:pPr>
        <w:tabs>
          <w:tab w:val="num" w:pos="2880"/>
        </w:tabs>
        <w:ind w:left="2880" w:hanging="360"/>
      </w:pPr>
      <w:rPr>
        <w:rFonts w:ascii="Wingdings" w:hAnsi="Wingdings" w:hint="default"/>
      </w:rPr>
    </w:lvl>
    <w:lvl w:ilvl="4" w:tplc="1D0477FC" w:tentative="1">
      <w:start w:val="1"/>
      <w:numFmt w:val="bullet"/>
      <w:lvlText w:val=""/>
      <w:lvlJc w:val="left"/>
      <w:pPr>
        <w:tabs>
          <w:tab w:val="num" w:pos="3600"/>
        </w:tabs>
        <w:ind w:left="3600" w:hanging="360"/>
      </w:pPr>
      <w:rPr>
        <w:rFonts w:ascii="Wingdings" w:hAnsi="Wingdings" w:hint="default"/>
      </w:rPr>
    </w:lvl>
    <w:lvl w:ilvl="5" w:tplc="58B8FA44" w:tentative="1">
      <w:start w:val="1"/>
      <w:numFmt w:val="bullet"/>
      <w:lvlText w:val=""/>
      <w:lvlJc w:val="left"/>
      <w:pPr>
        <w:tabs>
          <w:tab w:val="num" w:pos="4320"/>
        </w:tabs>
        <w:ind w:left="4320" w:hanging="360"/>
      </w:pPr>
      <w:rPr>
        <w:rFonts w:ascii="Wingdings" w:hAnsi="Wingdings" w:hint="default"/>
      </w:rPr>
    </w:lvl>
    <w:lvl w:ilvl="6" w:tplc="9140E37C" w:tentative="1">
      <w:start w:val="1"/>
      <w:numFmt w:val="bullet"/>
      <w:lvlText w:val=""/>
      <w:lvlJc w:val="left"/>
      <w:pPr>
        <w:tabs>
          <w:tab w:val="num" w:pos="5040"/>
        </w:tabs>
        <w:ind w:left="5040" w:hanging="360"/>
      </w:pPr>
      <w:rPr>
        <w:rFonts w:ascii="Wingdings" w:hAnsi="Wingdings" w:hint="default"/>
      </w:rPr>
    </w:lvl>
    <w:lvl w:ilvl="7" w:tplc="C8CA65D8" w:tentative="1">
      <w:start w:val="1"/>
      <w:numFmt w:val="bullet"/>
      <w:lvlText w:val=""/>
      <w:lvlJc w:val="left"/>
      <w:pPr>
        <w:tabs>
          <w:tab w:val="num" w:pos="5760"/>
        </w:tabs>
        <w:ind w:left="5760" w:hanging="360"/>
      </w:pPr>
      <w:rPr>
        <w:rFonts w:ascii="Wingdings" w:hAnsi="Wingdings" w:hint="default"/>
      </w:rPr>
    </w:lvl>
    <w:lvl w:ilvl="8" w:tplc="8DDCAAB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7A4E54"/>
    <w:multiLevelType w:val="hybridMultilevel"/>
    <w:tmpl w:val="47F04598"/>
    <w:lvl w:ilvl="0" w:tplc="3782CFD0">
      <w:start w:val="1"/>
      <w:numFmt w:val="bullet"/>
      <w:lvlText w:val=""/>
      <w:lvlJc w:val="left"/>
      <w:pPr>
        <w:tabs>
          <w:tab w:val="num" w:pos="720"/>
        </w:tabs>
        <w:ind w:left="720" w:hanging="360"/>
      </w:pPr>
      <w:rPr>
        <w:rFonts w:ascii="Wingdings" w:hAnsi="Wingdings" w:hint="default"/>
      </w:rPr>
    </w:lvl>
    <w:lvl w:ilvl="1" w:tplc="072464D8" w:tentative="1">
      <w:start w:val="1"/>
      <w:numFmt w:val="bullet"/>
      <w:lvlText w:val=""/>
      <w:lvlJc w:val="left"/>
      <w:pPr>
        <w:tabs>
          <w:tab w:val="num" w:pos="1440"/>
        </w:tabs>
        <w:ind w:left="1440" w:hanging="360"/>
      </w:pPr>
      <w:rPr>
        <w:rFonts w:ascii="Wingdings" w:hAnsi="Wingdings" w:hint="default"/>
      </w:rPr>
    </w:lvl>
    <w:lvl w:ilvl="2" w:tplc="3A90075E" w:tentative="1">
      <w:start w:val="1"/>
      <w:numFmt w:val="bullet"/>
      <w:lvlText w:val=""/>
      <w:lvlJc w:val="left"/>
      <w:pPr>
        <w:tabs>
          <w:tab w:val="num" w:pos="2160"/>
        </w:tabs>
        <w:ind w:left="2160" w:hanging="360"/>
      </w:pPr>
      <w:rPr>
        <w:rFonts w:ascii="Wingdings" w:hAnsi="Wingdings" w:hint="default"/>
      </w:rPr>
    </w:lvl>
    <w:lvl w:ilvl="3" w:tplc="203016DE" w:tentative="1">
      <w:start w:val="1"/>
      <w:numFmt w:val="bullet"/>
      <w:lvlText w:val=""/>
      <w:lvlJc w:val="left"/>
      <w:pPr>
        <w:tabs>
          <w:tab w:val="num" w:pos="2880"/>
        </w:tabs>
        <w:ind w:left="2880" w:hanging="360"/>
      </w:pPr>
      <w:rPr>
        <w:rFonts w:ascii="Wingdings" w:hAnsi="Wingdings" w:hint="default"/>
      </w:rPr>
    </w:lvl>
    <w:lvl w:ilvl="4" w:tplc="B2562FDC" w:tentative="1">
      <w:start w:val="1"/>
      <w:numFmt w:val="bullet"/>
      <w:lvlText w:val=""/>
      <w:lvlJc w:val="left"/>
      <w:pPr>
        <w:tabs>
          <w:tab w:val="num" w:pos="3600"/>
        </w:tabs>
        <w:ind w:left="3600" w:hanging="360"/>
      </w:pPr>
      <w:rPr>
        <w:rFonts w:ascii="Wingdings" w:hAnsi="Wingdings" w:hint="default"/>
      </w:rPr>
    </w:lvl>
    <w:lvl w:ilvl="5" w:tplc="8C9A797C" w:tentative="1">
      <w:start w:val="1"/>
      <w:numFmt w:val="bullet"/>
      <w:lvlText w:val=""/>
      <w:lvlJc w:val="left"/>
      <w:pPr>
        <w:tabs>
          <w:tab w:val="num" w:pos="4320"/>
        </w:tabs>
        <w:ind w:left="4320" w:hanging="360"/>
      </w:pPr>
      <w:rPr>
        <w:rFonts w:ascii="Wingdings" w:hAnsi="Wingdings" w:hint="default"/>
      </w:rPr>
    </w:lvl>
    <w:lvl w:ilvl="6" w:tplc="26586888" w:tentative="1">
      <w:start w:val="1"/>
      <w:numFmt w:val="bullet"/>
      <w:lvlText w:val=""/>
      <w:lvlJc w:val="left"/>
      <w:pPr>
        <w:tabs>
          <w:tab w:val="num" w:pos="5040"/>
        </w:tabs>
        <w:ind w:left="5040" w:hanging="360"/>
      </w:pPr>
      <w:rPr>
        <w:rFonts w:ascii="Wingdings" w:hAnsi="Wingdings" w:hint="default"/>
      </w:rPr>
    </w:lvl>
    <w:lvl w:ilvl="7" w:tplc="C43A6AD8" w:tentative="1">
      <w:start w:val="1"/>
      <w:numFmt w:val="bullet"/>
      <w:lvlText w:val=""/>
      <w:lvlJc w:val="left"/>
      <w:pPr>
        <w:tabs>
          <w:tab w:val="num" w:pos="5760"/>
        </w:tabs>
        <w:ind w:left="5760" w:hanging="360"/>
      </w:pPr>
      <w:rPr>
        <w:rFonts w:ascii="Wingdings" w:hAnsi="Wingdings" w:hint="default"/>
      </w:rPr>
    </w:lvl>
    <w:lvl w:ilvl="8" w:tplc="49804AC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4B95ECE"/>
    <w:multiLevelType w:val="hybridMultilevel"/>
    <w:tmpl w:val="B0427FBE"/>
    <w:lvl w:ilvl="0" w:tplc="1BCCCFFC">
      <w:start w:val="1"/>
      <w:numFmt w:val="bullet"/>
      <w:lvlText w:val=""/>
      <w:lvlJc w:val="left"/>
      <w:pPr>
        <w:tabs>
          <w:tab w:val="num" w:pos="720"/>
        </w:tabs>
        <w:ind w:left="720" w:hanging="360"/>
      </w:pPr>
      <w:rPr>
        <w:rFonts w:ascii="Wingdings" w:hAnsi="Wingdings" w:hint="default"/>
      </w:rPr>
    </w:lvl>
    <w:lvl w:ilvl="1" w:tplc="6BECC9A2" w:tentative="1">
      <w:start w:val="1"/>
      <w:numFmt w:val="bullet"/>
      <w:lvlText w:val=""/>
      <w:lvlJc w:val="left"/>
      <w:pPr>
        <w:tabs>
          <w:tab w:val="num" w:pos="1440"/>
        </w:tabs>
        <w:ind w:left="1440" w:hanging="360"/>
      </w:pPr>
      <w:rPr>
        <w:rFonts w:ascii="Wingdings" w:hAnsi="Wingdings" w:hint="default"/>
      </w:rPr>
    </w:lvl>
    <w:lvl w:ilvl="2" w:tplc="DDF221CA" w:tentative="1">
      <w:start w:val="1"/>
      <w:numFmt w:val="bullet"/>
      <w:lvlText w:val=""/>
      <w:lvlJc w:val="left"/>
      <w:pPr>
        <w:tabs>
          <w:tab w:val="num" w:pos="2160"/>
        </w:tabs>
        <w:ind w:left="2160" w:hanging="360"/>
      </w:pPr>
      <w:rPr>
        <w:rFonts w:ascii="Wingdings" w:hAnsi="Wingdings" w:hint="default"/>
      </w:rPr>
    </w:lvl>
    <w:lvl w:ilvl="3" w:tplc="C60AF5C2" w:tentative="1">
      <w:start w:val="1"/>
      <w:numFmt w:val="bullet"/>
      <w:lvlText w:val=""/>
      <w:lvlJc w:val="left"/>
      <w:pPr>
        <w:tabs>
          <w:tab w:val="num" w:pos="2880"/>
        </w:tabs>
        <w:ind w:left="2880" w:hanging="360"/>
      </w:pPr>
      <w:rPr>
        <w:rFonts w:ascii="Wingdings" w:hAnsi="Wingdings" w:hint="default"/>
      </w:rPr>
    </w:lvl>
    <w:lvl w:ilvl="4" w:tplc="C16A877A" w:tentative="1">
      <w:start w:val="1"/>
      <w:numFmt w:val="bullet"/>
      <w:lvlText w:val=""/>
      <w:lvlJc w:val="left"/>
      <w:pPr>
        <w:tabs>
          <w:tab w:val="num" w:pos="3600"/>
        </w:tabs>
        <w:ind w:left="3600" w:hanging="360"/>
      </w:pPr>
      <w:rPr>
        <w:rFonts w:ascii="Wingdings" w:hAnsi="Wingdings" w:hint="default"/>
      </w:rPr>
    </w:lvl>
    <w:lvl w:ilvl="5" w:tplc="E7B83D02" w:tentative="1">
      <w:start w:val="1"/>
      <w:numFmt w:val="bullet"/>
      <w:lvlText w:val=""/>
      <w:lvlJc w:val="left"/>
      <w:pPr>
        <w:tabs>
          <w:tab w:val="num" w:pos="4320"/>
        </w:tabs>
        <w:ind w:left="4320" w:hanging="360"/>
      </w:pPr>
      <w:rPr>
        <w:rFonts w:ascii="Wingdings" w:hAnsi="Wingdings" w:hint="default"/>
      </w:rPr>
    </w:lvl>
    <w:lvl w:ilvl="6" w:tplc="C9D43F84" w:tentative="1">
      <w:start w:val="1"/>
      <w:numFmt w:val="bullet"/>
      <w:lvlText w:val=""/>
      <w:lvlJc w:val="left"/>
      <w:pPr>
        <w:tabs>
          <w:tab w:val="num" w:pos="5040"/>
        </w:tabs>
        <w:ind w:left="5040" w:hanging="360"/>
      </w:pPr>
      <w:rPr>
        <w:rFonts w:ascii="Wingdings" w:hAnsi="Wingdings" w:hint="default"/>
      </w:rPr>
    </w:lvl>
    <w:lvl w:ilvl="7" w:tplc="10341BCE" w:tentative="1">
      <w:start w:val="1"/>
      <w:numFmt w:val="bullet"/>
      <w:lvlText w:val=""/>
      <w:lvlJc w:val="left"/>
      <w:pPr>
        <w:tabs>
          <w:tab w:val="num" w:pos="5760"/>
        </w:tabs>
        <w:ind w:left="5760" w:hanging="360"/>
      </w:pPr>
      <w:rPr>
        <w:rFonts w:ascii="Wingdings" w:hAnsi="Wingdings" w:hint="default"/>
      </w:rPr>
    </w:lvl>
    <w:lvl w:ilvl="8" w:tplc="0DFE0BB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0A55FC"/>
    <w:multiLevelType w:val="hybridMultilevel"/>
    <w:tmpl w:val="DF844A30"/>
    <w:lvl w:ilvl="0" w:tplc="A3661048">
      <w:start w:val="1"/>
      <w:numFmt w:val="bullet"/>
      <w:lvlText w:val=""/>
      <w:lvlJc w:val="left"/>
      <w:pPr>
        <w:tabs>
          <w:tab w:val="num" w:pos="720"/>
        </w:tabs>
        <w:ind w:left="720" w:hanging="360"/>
      </w:pPr>
      <w:rPr>
        <w:rFonts w:ascii="Wingdings" w:hAnsi="Wingdings" w:hint="default"/>
      </w:rPr>
    </w:lvl>
    <w:lvl w:ilvl="1" w:tplc="04FC91AE" w:tentative="1">
      <w:start w:val="1"/>
      <w:numFmt w:val="bullet"/>
      <w:lvlText w:val=""/>
      <w:lvlJc w:val="left"/>
      <w:pPr>
        <w:tabs>
          <w:tab w:val="num" w:pos="1440"/>
        </w:tabs>
        <w:ind w:left="1440" w:hanging="360"/>
      </w:pPr>
      <w:rPr>
        <w:rFonts w:ascii="Wingdings" w:hAnsi="Wingdings" w:hint="default"/>
      </w:rPr>
    </w:lvl>
    <w:lvl w:ilvl="2" w:tplc="5ACCC216" w:tentative="1">
      <w:start w:val="1"/>
      <w:numFmt w:val="bullet"/>
      <w:lvlText w:val=""/>
      <w:lvlJc w:val="left"/>
      <w:pPr>
        <w:tabs>
          <w:tab w:val="num" w:pos="2160"/>
        </w:tabs>
        <w:ind w:left="2160" w:hanging="360"/>
      </w:pPr>
      <w:rPr>
        <w:rFonts w:ascii="Wingdings" w:hAnsi="Wingdings" w:hint="default"/>
      </w:rPr>
    </w:lvl>
    <w:lvl w:ilvl="3" w:tplc="6270B7C0" w:tentative="1">
      <w:start w:val="1"/>
      <w:numFmt w:val="bullet"/>
      <w:lvlText w:val=""/>
      <w:lvlJc w:val="left"/>
      <w:pPr>
        <w:tabs>
          <w:tab w:val="num" w:pos="2880"/>
        </w:tabs>
        <w:ind w:left="2880" w:hanging="360"/>
      </w:pPr>
      <w:rPr>
        <w:rFonts w:ascii="Wingdings" w:hAnsi="Wingdings" w:hint="default"/>
      </w:rPr>
    </w:lvl>
    <w:lvl w:ilvl="4" w:tplc="D6F29E2C" w:tentative="1">
      <w:start w:val="1"/>
      <w:numFmt w:val="bullet"/>
      <w:lvlText w:val=""/>
      <w:lvlJc w:val="left"/>
      <w:pPr>
        <w:tabs>
          <w:tab w:val="num" w:pos="3600"/>
        </w:tabs>
        <w:ind w:left="3600" w:hanging="360"/>
      </w:pPr>
      <w:rPr>
        <w:rFonts w:ascii="Wingdings" w:hAnsi="Wingdings" w:hint="default"/>
      </w:rPr>
    </w:lvl>
    <w:lvl w:ilvl="5" w:tplc="8FF07AF8" w:tentative="1">
      <w:start w:val="1"/>
      <w:numFmt w:val="bullet"/>
      <w:lvlText w:val=""/>
      <w:lvlJc w:val="left"/>
      <w:pPr>
        <w:tabs>
          <w:tab w:val="num" w:pos="4320"/>
        </w:tabs>
        <w:ind w:left="4320" w:hanging="360"/>
      </w:pPr>
      <w:rPr>
        <w:rFonts w:ascii="Wingdings" w:hAnsi="Wingdings" w:hint="default"/>
      </w:rPr>
    </w:lvl>
    <w:lvl w:ilvl="6" w:tplc="159EB456" w:tentative="1">
      <w:start w:val="1"/>
      <w:numFmt w:val="bullet"/>
      <w:lvlText w:val=""/>
      <w:lvlJc w:val="left"/>
      <w:pPr>
        <w:tabs>
          <w:tab w:val="num" w:pos="5040"/>
        </w:tabs>
        <w:ind w:left="5040" w:hanging="360"/>
      </w:pPr>
      <w:rPr>
        <w:rFonts w:ascii="Wingdings" w:hAnsi="Wingdings" w:hint="default"/>
      </w:rPr>
    </w:lvl>
    <w:lvl w:ilvl="7" w:tplc="F1F85460" w:tentative="1">
      <w:start w:val="1"/>
      <w:numFmt w:val="bullet"/>
      <w:lvlText w:val=""/>
      <w:lvlJc w:val="left"/>
      <w:pPr>
        <w:tabs>
          <w:tab w:val="num" w:pos="5760"/>
        </w:tabs>
        <w:ind w:left="5760" w:hanging="360"/>
      </w:pPr>
      <w:rPr>
        <w:rFonts w:ascii="Wingdings" w:hAnsi="Wingdings" w:hint="default"/>
      </w:rPr>
    </w:lvl>
    <w:lvl w:ilvl="8" w:tplc="3A6832B4" w:tentative="1">
      <w:start w:val="1"/>
      <w:numFmt w:val="bullet"/>
      <w:lvlText w:val=""/>
      <w:lvlJc w:val="left"/>
      <w:pPr>
        <w:tabs>
          <w:tab w:val="num" w:pos="6480"/>
        </w:tabs>
        <w:ind w:left="6480" w:hanging="360"/>
      </w:pPr>
      <w:rPr>
        <w:rFonts w:ascii="Wingdings" w:hAnsi="Wingdings" w:hint="default"/>
      </w:rPr>
    </w:lvl>
  </w:abstractNum>
  <w:num w:numId="1" w16cid:durableId="1897620442">
    <w:abstractNumId w:val="9"/>
  </w:num>
  <w:num w:numId="2" w16cid:durableId="1699501990">
    <w:abstractNumId w:val="8"/>
  </w:num>
  <w:num w:numId="3" w16cid:durableId="1692140969">
    <w:abstractNumId w:val="2"/>
  </w:num>
  <w:num w:numId="4" w16cid:durableId="1517421521">
    <w:abstractNumId w:val="3"/>
  </w:num>
  <w:num w:numId="5" w16cid:durableId="11273790">
    <w:abstractNumId w:val="7"/>
  </w:num>
  <w:num w:numId="6" w16cid:durableId="359739800">
    <w:abstractNumId w:val="5"/>
  </w:num>
  <w:num w:numId="7" w16cid:durableId="1764645757">
    <w:abstractNumId w:val="0"/>
  </w:num>
  <w:num w:numId="8" w16cid:durableId="13583268">
    <w:abstractNumId w:val="1"/>
  </w:num>
  <w:num w:numId="9" w16cid:durableId="83459548">
    <w:abstractNumId w:val="6"/>
  </w:num>
  <w:num w:numId="10" w16cid:durableId="1763532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E4"/>
    <w:rsid w:val="001A10E4"/>
    <w:rsid w:val="00372933"/>
    <w:rsid w:val="00392239"/>
    <w:rsid w:val="008212E1"/>
    <w:rsid w:val="009D0785"/>
    <w:rsid w:val="00CB5941"/>
    <w:rsid w:val="00EB5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28911"/>
  <w15:chartTrackingRefBased/>
  <w15:docId w15:val="{005334D6-4F61-4DD5-B829-DA12F95A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12E1"/>
    <w:pPr>
      <w:tabs>
        <w:tab w:val="center" w:pos="4153"/>
        <w:tab w:val="right" w:pos="8306"/>
      </w:tabs>
      <w:snapToGrid w:val="0"/>
      <w:jc w:val="center"/>
    </w:pPr>
    <w:rPr>
      <w:sz w:val="18"/>
      <w:szCs w:val="18"/>
    </w:rPr>
  </w:style>
  <w:style w:type="character" w:customStyle="1" w:styleId="a4">
    <w:name w:val="页眉 字符"/>
    <w:basedOn w:val="a0"/>
    <w:link w:val="a3"/>
    <w:uiPriority w:val="99"/>
    <w:rsid w:val="008212E1"/>
    <w:rPr>
      <w:sz w:val="18"/>
      <w:szCs w:val="18"/>
    </w:rPr>
  </w:style>
  <w:style w:type="paragraph" w:styleId="a5">
    <w:name w:val="footer"/>
    <w:basedOn w:val="a"/>
    <w:link w:val="a6"/>
    <w:uiPriority w:val="99"/>
    <w:unhideWhenUsed/>
    <w:rsid w:val="008212E1"/>
    <w:pPr>
      <w:tabs>
        <w:tab w:val="center" w:pos="4153"/>
        <w:tab w:val="right" w:pos="8306"/>
      </w:tabs>
      <w:snapToGrid w:val="0"/>
      <w:jc w:val="left"/>
    </w:pPr>
    <w:rPr>
      <w:sz w:val="18"/>
      <w:szCs w:val="18"/>
    </w:rPr>
  </w:style>
  <w:style w:type="character" w:customStyle="1" w:styleId="a6">
    <w:name w:val="页脚 字符"/>
    <w:basedOn w:val="a0"/>
    <w:link w:val="a5"/>
    <w:uiPriority w:val="99"/>
    <w:rsid w:val="008212E1"/>
    <w:rPr>
      <w:sz w:val="18"/>
      <w:szCs w:val="18"/>
    </w:rPr>
  </w:style>
  <w:style w:type="paragraph" w:styleId="a7">
    <w:name w:val="List Paragraph"/>
    <w:basedOn w:val="a"/>
    <w:uiPriority w:val="34"/>
    <w:qFormat/>
    <w:rsid w:val="00372933"/>
    <w:pPr>
      <w:widowControl/>
      <w:ind w:firstLineChars="200" w:firstLine="420"/>
      <w:jc w:val="left"/>
    </w:pPr>
    <w:rPr>
      <w:rFonts w:ascii="宋体" w:eastAsia="宋体" w:hAnsi="宋体" w:cs="宋体"/>
      <w:kern w:val="0"/>
      <w:sz w:val="24"/>
      <w:szCs w:val="24"/>
    </w:rPr>
  </w:style>
  <w:style w:type="paragraph" w:styleId="a8">
    <w:name w:val="Normal (Web)"/>
    <w:basedOn w:val="a"/>
    <w:uiPriority w:val="99"/>
    <w:semiHidden/>
    <w:unhideWhenUsed/>
    <w:rsid w:val="0037293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23144">
      <w:bodyDiv w:val="1"/>
      <w:marLeft w:val="0"/>
      <w:marRight w:val="0"/>
      <w:marTop w:val="0"/>
      <w:marBottom w:val="0"/>
      <w:divBdr>
        <w:top w:val="none" w:sz="0" w:space="0" w:color="auto"/>
        <w:left w:val="none" w:sz="0" w:space="0" w:color="auto"/>
        <w:bottom w:val="none" w:sz="0" w:space="0" w:color="auto"/>
        <w:right w:val="none" w:sz="0" w:space="0" w:color="auto"/>
      </w:divBdr>
      <w:divsChild>
        <w:div w:id="924458934">
          <w:marLeft w:val="547"/>
          <w:marRight w:val="0"/>
          <w:marTop w:val="0"/>
          <w:marBottom w:val="0"/>
          <w:divBdr>
            <w:top w:val="none" w:sz="0" w:space="0" w:color="auto"/>
            <w:left w:val="none" w:sz="0" w:space="0" w:color="auto"/>
            <w:bottom w:val="none" w:sz="0" w:space="0" w:color="auto"/>
            <w:right w:val="none" w:sz="0" w:space="0" w:color="auto"/>
          </w:divBdr>
        </w:div>
        <w:div w:id="1033962877">
          <w:marLeft w:val="547"/>
          <w:marRight w:val="0"/>
          <w:marTop w:val="0"/>
          <w:marBottom w:val="0"/>
          <w:divBdr>
            <w:top w:val="none" w:sz="0" w:space="0" w:color="auto"/>
            <w:left w:val="none" w:sz="0" w:space="0" w:color="auto"/>
            <w:bottom w:val="none" w:sz="0" w:space="0" w:color="auto"/>
            <w:right w:val="none" w:sz="0" w:space="0" w:color="auto"/>
          </w:divBdr>
        </w:div>
        <w:div w:id="69037742">
          <w:marLeft w:val="547"/>
          <w:marRight w:val="0"/>
          <w:marTop w:val="0"/>
          <w:marBottom w:val="0"/>
          <w:divBdr>
            <w:top w:val="none" w:sz="0" w:space="0" w:color="auto"/>
            <w:left w:val="none" w:sz="0" w:space="0" w:color="auto"/>
            <w:bottom w:val="none" w:sz="0" w:space="0" w:color="auto"/>
            <w:right w:val="none" w:sz="0" w:space="0" w:color="auto"/>
          </w:divBdr>
        </w:div>
        <w:div w:id="1728408471">
          <w:marLeft w:val="547"/>
          <w:marRight w:val="0"/>
          <w:marTop w:val="0"/>
          <w:marBottom w:val="0"/>
          <w:divBdr>
            <w:top w:val="none" w:sz="0" w:space="0" w:color="auto"/>
            <w:left w:val="none" w:sz="0" w:space="0" w:color="auto"/>
            <w:bottom w:val="none" w:sz="0" w:space="0" w:color="auto"/>
            <w:right w:val="none" w:sz="0" w:space="0" w:color="auto"/>
          </w:divBdr>
        </w:div>
        <w:div w:id="120535364">
          <w:marLeft w:val="547"/>
          <w:marRight w:val="0"/>
          <w:marTop w:val="0"/>
          <w:marBottom w:val="0"/>
          <w:divBdr>
            <w:top w:val="none" w:sz="0" w:space="0" w:color="auto"/>
            <w:left w:val="none" w:sz="0" w:space="0" w:color="auto"/>
            <w:bottom w:val="none" w:sz="0" w:space="0" w:color="auto"/>
            <w:right w:val="none" w:sz="0" w:space="0" w:color="auto"/>
          </w:divBdr>
        </w:div>
        <w:div w:id="552891060">
          <w:marLeft w:val="547"/>
          <w:marRight w:val="0"/>
          <w:marTop w:val="0"/>
          <w:marBottom w:val="0"/>
          <w:divBdr>
            <w:top w:val="none" w:sz="0" w:space="0" w:color="auto"/>
            <w:left w:val="none" w:sz="0" w:space="0" w:color="auto"/>
            <w:bottom w:val="none" w:sz="0" w:space="0" w:color="auto"/>
            <w:right w:val="none" w:sz="0" w:space="0" w:color="auto"/>
          </w:divBdr>
        </w:div>
      </w:divsChild>
    </w:div>
    <w:div w:id="243148046">
      <w:bodyDiv w:val="1"/>
      <w:marLeft w:val="0"/>
      <w:marRight w:val="0"/>
      <w:marTop w:val="0"/>
      <w:marBottom w:val="0"/>
      <w:divBdr>
        <w:top w:val="none" w:sz="0" w:space="0" w:color="auto"/>
        <w:left w:val="none" w:sz="0" w:space="0" w:color="auto"/>
        <w:bottom w:val="none" w:sz="0" w:space="0" w:color="auto"/>
        <w:right w:val="none" w:sz="0" w:space="0" w:color="auto"/>
      </w:divBdr>
    </w:div>
    <w:div w:id="361172490">
      <w:bodyDiv w:val="1"/>
      <w:marLeft w:val="0"/>
      <w:marRight w:val="0"/>
      <w:marTop w:val="0"/>
      <w:marBottom w:val="0"/>
      <w:divBdr>
        <w:top w:val="none" w:sz="0" w:space="0" w:color="auto"/>
        <w:left w:val="none" w:sz="0" w:space="0" w:color="auto"/>
        <w:bottom w:val="none" w:sz="0" w:space="0" w:color="auto"/>
        <w:right w:val="none" w:sz="0" w:space="0" w:color="auto"/>
      </w:divBdr>
      <w:divsChild>
        <w:div w:id="853107984">
          <w:marLeft w:val="461"/>
          <w:marRight w:val="0"/>
          <w:marTop w:val="192"/>
          <w:marBottom w:val="0"/>
          <w:divBdr>
            <w:top w:val="none" w:sz="0" w:space="0" w:color="auto"/>
            <w:left w:val="none" w:sz="0" w:space="0" w:color="auto"/>
            <w:bottom w:val="none" w:sz="0" w:space="0" w:color="auto"/>
            <w:right w:val="none" w:sz="0" w:space="0" w:color="auto"/>
          </w:divBdr>
        </w:div>
        <w:div w:id="555774908">
          <w:marLeft w:val="461"/>
          <w:marRight w:val="0"/>
          <w:marTop w:val="192"/>
          <w:marBottom w:val="0"/>
          <w:divBdr>
            <w:top w:val="none" w:sz="0" w:space="0" w:color="auto"/>
            <w:left w:val="none" w:sz="0" w:space="0" w:color="auto"/>
            <w:bottom w:val="none" w:sz="0" w:space="0" w:color="auto"/>
            <w:right w:val="none" w:sz="0" w:space="0" w:color="auto"/>
          </w:divBdr>
        </w:div>
      </w:divsChild>
    </w:div>
    <w:div w:id="447162903">
      <w:bodyDiv w:val="1"/>
      <w:marLeft w:val="0"/>
      <w:marRight w:val="0"/>
      <w:marTop w:val="0"/>
      <w:marBottom w:val="0"/>
      <w:divBdr>
        <w:top w:val="none" w:sz="0" w:space="0" w:color="auto"/>
        <w:left w:val="none" w:sz="0" w:space="0" w:color="auto"/>
        <w:bottom w:val="none" w:sz="0" w:space="0" w:color="auto"/>
        <w:right w:val="none" w:sz="0" w:space="0" w:color="auto"/>
      </w:divBdr>
    </w:div>
    <w:div w:id="449011860">
      <w:bodyDiv w:val="1"/>
      <w:marLeft w:val="0"/>
      <w:marRight w:val="0"/>
      <w:marTop w:val="0"/>
      <w:marBottom w:val="0"/>
      <w:divBdr>
        <w:top w:val="none" w:sz="0" w:space="0" w:color="auto"/>
        <w:left w:val="none" w:sz="0" w:space="0" w:color="auto"/>
        <w:bottom w:val="none" w:sz="0" w:space="0" w:color="auto"/>
        <w:right w:val="none" w:sz="0" w:space="0" w:color="auto"/>
      </w:divBdr>
      <w:divsChild>
        <w:div w:id="366562340">
          <w:marLeft w:val="547"/>
          <w:marRight w:val="0"/>
          <w:marTop w:val="115"/>
          <w:marBottom w:val="0"/>
          <w:divBdr>
            <w:top w:val="none" w:sz="0" w:space="0" w:color="auto"/>
            <w:left w:val="none" w:sz="0" w:space="0" w:color="auto"/>
            <w:bottom w:val="none" w:sz="0" w:space="0" w:color="auto"/>
            <w:right w:val="none" w:sz="0" w:space="0" w:color="auto"/>
          </w:divBdr>
        </w:div>
      </w:divsChild>
    </w:div>
    <w:div w:id="460540334">
      <w:bodyDiv w:val="1"/>
      <w:marLeft w:val="0"/>
      <w:marRight w:val="0"/>
      <w:marTop w:val="0"/>
      <w:marBottom w:val="0"/>
      <w:divBdr>
        <w:top w:val="none" w:sz="0" w:space="0" w:color="auto"/>
        <w:left w:val="none" w:sz="0" w:space="0" w:color="auto"/>
        <w:bottom w:val="none" w:sz="0" w:space="0" w:color="auto"/>
        <w:right w:val="none" w:sz="0" w:space="0" w:color="auto"/>
      </w:divBdr>
    </w:div>
    <w:div w:id="573972664">
      <w:bodyDiv w:val="1"/>
      <w:marLeft w:val="0"/>
      <w:marRight w:val="0"/>
      <w:marTop w:val="0"/>
      <w:marBottom w:val="0"/>
      <w:divBdr>
        <w:top w:val="none" w:sz="0" w:space="0" w:color="auto"/>
        <w:left w:val="none" w:sz="0" w:space="0" w:color="auto"/>
        <w:bottom w:val="none" w:sz="0" w:space="0" w:color="auto"/>
        <w:right w:val="none" w:sz="0" w:space="0" w:color="auto"/>
      </w:divBdr>
    </w:div>
    <w:div w:id="579289540">
      <w:bodyDiv w:val="1"/>
      <w:marLeft w:val="0"/>
      <w:marRight w:val="0"/>
      <w:marTop w:val="0"/>
      <w:marBottom w:val="0"/>
      <w:divBdr>
        <w:top w:val="none" w:sz="0" w:space="0" w:color="auto"/>
        <w:left w:val="none" w:sz="0" w:space="0" w:color="auto"/>
        <w:bottom w:val="none" w:sz="0" w:space="0" w:color="auto"/>
        <w:right w:val="none" w:sz="0" w:space="0" w:color="auto"/>
      </w:divBdr>
    </w:div>
    <w:div w:id="945119585">
      <w:bodyDiv w:val="1"/>
      <w:marLeft w:val="0"/>
      <w:marRight w:val="0"/>
      <w:marTop w:val="0"/>
      <w:marBottom w:val="0"/>
      <w:divBdr>
        <w:top w:val="none" w:sz="0" w:space="0" w:color="auto"/>
        <w:left w:val="none" w:sz="0" w:space="0" w:color="auto"/>
        <w:bottom w:val="none" w:sz="0" w:space="0" w:color="auto"/>
        <w:right w:val="none" w:sz="0" w:space="0" w:color="auto"/>
      </w:divBdr>
      <w:divsChild>
        <w:div w:id="727459479">
          <w:marLeft w:val="547"/>
          <w:marRight w:val="0"/>
          <w:marTop w:val="0"/>
          <w:marBottom w:val="0"/>
          <w:divBdr>
            <w:top w:val="none" w:sz="0" w:space="0" w:color="auto"/>
            <w:left w:val="none" w:sz="0" w:space="0" w:color="auto"/>
            <w:bottom w:val="none" w:sz="0" w:space="0" w:color="auto"/>
            <w:right w:val="none" w:sz="0" w:space="0" w:color="auto"/>
          </w:divBdr>
        </w:div>
        <w:div w:id="514807498">
          <w:marLeft w:val="547"/>
          <w:marRight w:val="0"/>
          <w:marTop w:val="0"/>
          <w:marBottom w:val="0"/>
          <w:divBdr>
            <w:top w:val="none" w:sz="0" w:space="0" w:color="auto"/>
            <w:left w:val="none" w:sz="0" w:space="0" w:color="auto"/>
            <w:bottom w:val="none" w:sz="0" w:space="0" w:color="auto"/>
            <w:right w:val="none" w:sz="0" w:space="0" w:color="auto"/>
          </w:divBdr>
        </w:div>
        <w:div w:id="315651613">
          <w:marLeft w:val="547"/>
          <w:marRight w:val="0"/>
          <w:marTop w:val="0"/>
          <w:marBottom w:val="0"/>
          <w:divBdr>
            <w:top w:val="none" w:sz="0" w:space="0" w:color="auto"/>
            <w:left w:val="none" w:sz="0" w:space="0" w:color="auto"/>
            <w:bottom w:val="none" w:sz="0" w:space="0" w:color="auto"/>
            <w:right w:val="none" w:sz="0" w:space="0" w:color="auto"/>
          </w:divBdr>
        </w:div>
        <w:div w:id="1619753617">
          <w:marLeft w:val="547"/>
          <w:marRight w:val="0"/>
          <w:marTop w:val="0"/>
          <w:marBottom w:val="0"/>
          <w:divBdr>
            <w:top w:val="none" w:sz="0" w:space="0" w:color="auto"/>
            <w:left w:val="none" w:sz="0" w:space="0" w:color="auto"/>
            <w:bottom w:val="none" w:sz="0" w:space="0" w:color="auto"/>
            <w:right w:val="none" w:sz="0" w:space="0" w:color="auto"/>
          </w:divBdr>
        </w:div>
        <w:div w:id="534275674">
          <w:marLeft w:val="547"/>
          <w:marRight w:val="0"/>
          <w:marTop w:val="0"/>
          <w:marBottom w:val="0"/>
          <w:divBdr>
            <w:top w:val="none" w:sz="0" w:space="0" w:color="auto"/>
            <w:left w:val="none" w:sz="0" w:space="0" w:color="auto"/>
            <w:bottom w:val="none" w:sz="0" w:space="0" w:color="auto"/>
            <w:right w:val="none" w:sz="0" w:space="0" w:color="auto"/>
          </w:divBdr>
        </w:div>
        <w:div w:id="1992824395">
          <w:marLeft w:val="547"/>
          <w:marRight w:val="0"/>
          <w:marTop w:val="0"/>
          <w:marBottom w:val="0"/>
          <w:divBdr>
            <w:top w:val="none" w:sz="0" w:space="0" w:color="auto"/>
            <w:left w:val="none" w:sz="0" w:space="0" w:color="auto"/>
            <w:bottom w:val="none" w:sz="0" w:space="0" w:color="auto"/>
            <w:right w:val="none" w:sz="0" w:space="0" w:color="auto"/>
          </w:divBdr>
        </w:div>
      </w:divsChild>
    </w:div>
    <w:div w:id="973633515">
      <w:bodyDiv w:val="1"/>
      <w:marLeft w:val="0"/>
      <w:marRight w:val="0"/>
      <w:marTop w:val="0"/>
      <w:marBottom w:val="0"/>
      <w:divBdr>
        <w:top w:val="none" w:sz="0" w:space="0" w:color="auto"/>
        <w:left w:val="none" w:sz="0" w:space="0" w:color="auto"/>
        <w:bottom w:val="none" w:sz="0" w:space="0" w:color="auto"/>
        <w:right w:val="none" w:sz="0" w:space="0" w:color="auto"/>
      </w:divBdr>
    </w:div>
    <w:div w:id="985207146">
      <w:bodyDiv w:val="1"/>
      <w:marLeft w:val="0"/>
      <w:marRight w:val="0"/>
      <w:marTop w:val="0"/>
      <w:marBottom w:val="0"/>
      <w:divBdr>
        <w:top w:val="none" w:sz="0" w:space="0" w:color="auto"/>
        <w:left w:val="none" w:sz="0" w:space="0" w:color="auto"/>
        <w:bottom w:val="none" w:sz="0" w:space="0" w:color="auto"/>
        <w:right w:val="none" w:sz="0" w:space="0" w:color="auto"/>
      </w:divBdr>
      <w:divsChild>
        <w:div w:id="598178980">
          <w:marLeft w:val="706"/>
          <w:marRight w:val="0"/>
          <w:marTop w:val="0"/>
          <w:marBottom w:val="0"/>
          <w:divBdr>
            <w:top w:val="none" w:sz="0" w:space="0" w:color="auto"/>
            <w:left w:val="none" w:sz="0" w:space="0" w:color="auto"/>
            <w:bottom w:val="none" w:sz="0" w:space="0" w:color="auto"/>
            <w:right w:val="none" w:sz="0" w:space="0" w:color="auto"/>
          </w:divBdr>
        </w:div>
        <w:div w:id="1908877193">
          <w:marLeft w:val="706"/>
          <w:marRight w:val="0"/>
          <w:marTop w:val="0"/>
          <w:marBottom w:val="0"/>
          <w:divBdr>
            <w:top w:val="none" w:sz="0" w:space="0" w:color="auto"/>
            <w:left w:val="none" w:sz="0" w:space="0" w:color="auto"/>
            <w:bottom w:val="none" w:sz="0" w:space="0" w:color="auto"/>
            <w:right w:val="none" w:sz="0" w:space="0" w:color="auto"/>
          </w:divBdr>
        </w:div>
        <w:div w:id="771632062">
          <w:marLeft w:val="706"/>
          <w:marRight w:val="0"/>
          <w:marTop w:val="0"/>
          <w:marBottom w:val="0"/>
          <w:divBdr>
            <w:top w:val="none" w:sz="0" w:space="0" w:color="auto"/>
            <w:left w:val="none" w:sz="0" w:space="0" w:color="auto"/>
            <w:bottom w:val="none" w:sz="0" w:space="0" w:color="auto"/>
            <w:right w:val="none" w:sz="0" w:space="0" w:color="auto"/>
          </w:divBdr>
        </w:div>
      </w:divsChild>
    </w:div>
    <w:div w:id="1005740795">
      <w:bodyDiv w:val="1"/>
      <w:marLeft w:val="0"/>
      <w:marRight w:val="0"/>
      <w:marTop w:val="0"/>
      <w:marBottom w:val="0"/>
      <w:divBdr>
        <w:top w:val="none" w:sz="0" w:space="0" w:color="auto"/>
        <w:left w:val="none" w:sz="0" w:space="0" w:color="auto"/>
        <w:bottom w:val="none" w:sz="0" w:space="0" w:color="auto"/>
        <w:right w:val="none" w:sz="0" w:space="0" w:color="auto"/>
      </w:divBdr>
      <w:divsChild>
        <w:div w:id="657003292">
          <w:marLeft w:val="547"/>
          <w:marRight w:val="0"/>
          <w:marTop w:val="0"/>
          <w:marBottom w:val="0"/>
          <w:divBdr>
            <w:top w:val="none" w:sz="0" w:space="0" w:color="auto"/>
            <w:left w:val="none" w:sz="0" w:space="0" w:color="auto"/>
            <w:bottom w:val="none" w:sz="0" w:space="0" w:color="auto"/>
            <w:right w:val="none" w:sz="0" w:space="0" w:color="auto"/>
          </w:divBdr>
        </w:div>
        <w:div w:id="407655056">
          <w:marLeft w:val="547"/>
          <w:marRight w:val="0"/>
          <w:marTop w:val="0"/>
          <w:marBottom w:val="0"/>
          <w:divBdr>
            <w:top w:val="none" w:sz="0" w:space="0" w:color="auto"/>
            <w:left w:val="none" w:sz="0" w:space="0" w:color="auto"/>
            <w:bottom w:val="none" w:sz="0" w:space="0" w:color="auto"/>
            <w:right w:val="none" w:sz="0" w:space="0" w:color="auto"/>
          </w:divBdr>
        </w:div>
        <w:div w:id="709646867">
          <w:marLeft w:val="547"/>
          <w:marRight w:val="0"/>
          <w:marTop w:val="0"/>
          <w:marBottom w:val="0"/>
          <w:divBdr>
            <w:top w:val="none" w:sz="0" w:space="0" w:color="auto"/>
            <w:left w:val="none" w:sz="0" w:space="0" w:color="auto"/>
            <w:bottom w:val="none" w:sz="0" w:space="0" w:color="auto"/>
            <w:right w:val="none" w:sz="0" w:space="0" w:color="auto"/>
          </w:divBdr>
        </w:div>
      </w:divsChild>
    </w:div>
    <w:div w:id="1045911634">
      <w:bodyDiv w:val="1"/>
      <w:marLeft w:val="0"/>
      <w:marRight w:val="0"/>
      <w:marTop w:val="0"/>
      <w:marBottom w:val="0"/>
      <w:divBdr>
        <w:top w:val="none" w:sz="0" w:space="0" w:color="auto"/>
        <w:left w:val="none" w:sz="0" w:space="0" w:color="auto"/>
        <w:bottom w:val="none" w:sz="0" w:space="0" w:color="auto"/>
        <w:right w:val="none" w:sz="0" w:space="0" w:color="auto"/>
      </w:divBdr>
    </w:div>
    <w:div w:id="1430738197">
      <w:bodyDiv w:val="1"/>
      <w:marLeft w:val="0"/>
      <w:marRight w:val="0"/>
      <w:marTop w:val="0"/>
      <w:marBottom w:val="0"/>
      <w:divBdr>
        <w:top w:val="none" w:sz="0" w:space="0" w:color="auto"/>
        <w:left w:val="none" w:sz="0" w:space="0" w:color="auto"/>
        <w:bottom w:val="none" w:sz="0" w:space="0" w:color="auto"/>
        <w:right w:val="none" w:sz="0" w:space="0" w:color="auto"/>
      </w:divBdr>
      <w:divsChild>
        <w:div w:id="1352801291">
          <w:marLeft w:val="547"/>
          <w:marRight w:val="0"/>
          <w:marTop w:val="86"/>
          <w:marBottom w:val="0"/>
          <w:divBdr>
            <w:top w:val="none" w:sz="0" w:space="0" w:color="auto"/>
            <w:left w:val="none" w:sz="0" w:space="0" w:color="auto"/>
            <w:bottom w:val="none" w:sz="0" w:space="0" w:color="auto"/>
            <w:right w:val="none" w:sz="0" w:space="0" w:color="auto"/>
          </w:divBdr>
        </w:div>
        <w:div w:id="259066616">
          <w:marLeft w:val="547"/>
          <w:marRight w:val="0"/>
          <w:marTop w:val="86"/>
          <w:marBottom w:val="0"/>
          <w:divBdr>
            <w:top w:val="none" w:sz="0" w:space="0" w:color="auto"/>
            <w:left w:val="none" w:sz="0" w:space="0" w:color="auto"/>
            <w:bottom w:val="none" w:sz="0" w:space="0" w:color="auto"/>
            <w:right w:val="none" w:sz="0" w:space="0" w:color="auto"/>
          </w:divBdr>
        </w:div>
        <w:div w:id="1486967966">
          <w:marLeft w:val="547"/>
          <w:marRight w:val="0"/>
          <w:marTop w:val="86"/>
          <w:marBottom w:val="0"/>
          <w:divBdr>
            <w:top w:val="none" w:sz="0" w:space="0" w:color="auto"/>
            <w:left w:val="none" w:sz="0" w:space="0" w:color="auto"/>
            <w:bottom w:val="none" w:sz="0" w:space="0" w:color="auto"/>
            <w:right w:val="none" w:sz="0" w:space="0" w:color="auto"/>
          </w:divBdr>
        </w:div>
        <w:div w:id="1158302137">
          <w:marLeft w:val="547"/>
          <w:marRight w:val="0"/>
          <w:marTop w:val="86"/>
          <w:marBottom w:val="0"/>
          <w:divBdr>
            <w:top w:val="none" w:sz="0" w:space="0" w:color="auto"/>
            <w:left w:val="none" w:sz="0" w:space="0" w:color="auto"/>
            <w:bottom w:val="none" w:sz="0" w:space="0" w:color="auto"/>
            <w:right w:val="none" w:sz="0" w:space="0" w:color="auto"/>
          </w:divBdr>
        </w:div>
      </w:divsChild>
    </w:div>
    <w:div w:id="1516652443">
      <w:bodyDiv w:val="1"/>
      <w:marLeft w:val="0"/>
      <w:marRight w:val="0"/>
      <w:marTop w:val="0"/>
      <w:marBottom w:val="0"/>
      <w:divBdr>
        <w:top w:val="none" w:sz="0" w:space="0" w:color="auto"/>
        <w:left w:val="none" w:sz="0" w:space="0" w:color="auto"/>
        <w:bottom w:val="none" w:sz="0" w:space="0" w:color="auto"/>
        <w:right w:val="none" w:sz="0" w:space="0" w:color="auto"/>
      </w:divBdr>
    </w:div>
    <w:div w:id="1686588517">
      <w:bodyDiv w:val="1"/>
      <w:marLeft w:val="0"/>
      <w:marRight w:val="0"/>
      <w:marTop w:val="0"/>
      <w:marBottom w:val="0"/>
      <w:divBdr>
        <w:top w:val="none" w:sz="0" w:space="0" w:color="auto"/>
        <w:left w:val="none" w:sz="0" w:space="0" w:color="auto"/>
        <w:bottom w:val="none" w:sz="0" w:space="0" w:color="auto"/>
        <w:right w:val="none" w:sz="0" w:space="0" w:color="auto"/>
      </w:divBdr>
      <w:divsChild>
        <w:div w:id="1790779100">
          <w:marLeft w:val="547"/>
          <w:marRight w:val="0"/>
          <w:marTop w:val="134"/>
          <w:marBottom w:val="0"/>
          <w:divBdr>
            <w:top w:val="none" w:sz="0" w:space="0" w:color="auto"/>
            <w:left w:val="none" w:sz="0" w:space="0" w:color="auto"/>
            <w:bottom w:val="none" w:sz="0" w:space="0" w:color="auto"/>
            <w:right w:val="none" w:sz="0" w:space="0" w:color="auto"/>
          </w:divBdr>
        </w:div>
      </w:divsChild>
    </w:div>
    <w:div w:id="1714233069">
      <w:bodyDiv w:val="1"/>
      <w:marLeft w:val="0"/>
      <w:marRight w:val="0"/>
      <w:marTop w:val="0"/>
      <w:marBottom w:val="0"/>
      <w:divBdr>
        <w:top w:val="none" w:sz="0" w:space="0" w:color="auto"/>
        <w:left w:val="none" w:sz="0" w:space="0" w:color="auto"/>
        <w:bottom w:val="none" w:sz="0" w:space="0" w:color="auto"/>
        <w:right w:val="none" w:sz="0" w:space="0" w:color="auto"/>
      </w:divBdr>
    </w:div>
    <w:div w:id="1737388832">
      <w:bodyDiv w:val="1"/>
      <w:marLeft w:val="0"/>
      <w:marRight w:val="0"/>
      <w:marTop w:val="0"/>
      <w:marBottom w:val="0"/>
      <w:divBdr>
        <w:top w:val="none" w:sz="0" w:space="0" w:color="auto"/>
        <w:left w:val="none" w:sz="0" w:space="0" w:color="auto"/>
        <w:bottom w:val="none" w:sz="0" w:space="0" w:color="auto"/>
        <w:right w:val="none" w:sz="0" w:space="0" w:color="auto"/>
      </w:divBdr>
      <w:divsChild>
        <w:div w:id="2135637739">
          <w:marLeft w:val="547"/>
          <w:marRight w:val="0"/>
          <w:marTop w:val="134"/>
          <w:marBottom w:val="0"/>
          <w:divBdr>
            <w:top w:val="none" w:sz="0" w:space="0" w:color="auto"/>
            <w:left w:val="none" w:sz="0" w:space="0" w:color="auto"/>
            <w:bottom w:val="none" w:sz="0" w:space="0" w:color="auto"/>
            <w:right w:val="none" w:sz="0" w:space="0" w:color="auto"/>
          </w:divBdr>
        </w:div>
      </w:divsChild>
    </w:div>
    <w:div w:id="1834032475">
      <w:bodyDiv w:val="1"/>
      <w:marLeft w:val="0"/>
      <w:marRight w:val="0"/>
      <w:marTop w:val="0"/>
      <w:marBottom w:val="0"/>
      <w:divBdr>
        <w:top w:val="none" w:sz="0" w:space="0" w:color="auto"/>
        <w:left w:val="none" w:sz="0" w:space="0" w:color="auto"/>
        <w:bottom w:val="none" w:sz="0" w:space="0" w:color="auto"/>
        <w:right w:val="none" w:sz="0" w:space="0" w:color="auto"/>
      </w:divBdr>
      <w:divsChild>
        <w:div w:id="1380397043">
          <w:marLeft w:val="547"/>
          <w:marRight w:val="0"/>
          <w:marTop w:val="96"/>
          <w:marBottom w:val="0"/>
          <w:divBdr>
            <w:top w:val="none" w:sz="0" w:space="0" w:color="auto"/>
            <w:left w:val="none" w:sz="0" w:space="0" w:color="auto"/>
            <w:bottom w:val="none" w:sz="0" w:space="0" w:color="auto"/>
            <w:right w:val="none" w:sz="0" w:space="0" w:color="auto"/>
          </w:divBdr>
        </w:div>
        <w:div w:id="1443185405">
          <w:marLeft w:val="547"/>
          <w:marRight w:val="0"/>
          <w:marTop w:val="96"/>
          <w:marBottom w:val="0"/>
          <w:divBdr>
            <w:top w:val="none" w:sz="0" w:space="0" w:color="auto"/>
            <w:left w:val="none" w:sz="0" w:space="0" w:color="auto"/>
            <w:bottom w:val="none" w:sz="0" w:space="0" w:color="auto"/>
            <w:right w:val="none" w:sz="0" w:space="0" w:color="auto"/>
          </w:divBdr>
        </w:div>
        <w:div w:id="1182741858">
          <w:marLeft w:val="547"/>
          <w:marRight w:val="0"/>
          <w:marTop w:val="96"/>
          <w:marBottom w:val="0"/>
          <w:divBdr>
            <w:top w:val="none" w:sz="0" w:space="0" w:color="auto"/>
            <w:left w:val="none" w:sz="0" w:space="0" w:color="auto"/>
            <w:bottom w:val="none" w:sz="0" w:space="0" w:color="auto"/>
            <w:right w:val="none" w:sz="0" w:space="0" w:color="auto"/>
          </w:divBdr>
        </w:div>
        <w:div w:id="1042558195">
          <w:marLeft w:val="547"/>
          <w:marRight w:val="0"/>
          <w:marTop w:val="96"/>
          <w:marBottom w:val="0"/>
          <w:divBdr>
            <w:top w:val="none" w:sz="0" w:space="0" w:color="auto"/>
            <w:left w:val="none" w:sz="0" w:space="0" w:color="auto"/>
            <w:bottom w:val="none" w:sz="0" w:space="0" w:color="auto"/>
            <w:right w:val="none" w:sz="0" w:space="0" w:color="auto"/>
          </w:divBdr>
        </w:div>
      </w:divsChild>
    </w:div>
    <w:div w:id="1852722998">
      <w:bodyDiv w:val="1"/>
      <w:marLeft w:val="0"/>
      <w:marRight w:val="0"/>
      <w:marTop w:val="0"/>
      <w:marBottom w:val="0"/>
      <w:divBdr>
        <w:top w:val="none" w:sz="0" w:space="0" w:color="auto"/>
        <w:left w:val="none" w:sz="0" w:space="0" w:color="auto"/>
        <w:bottom w:val="none" w:sz="0" w:space="0" w:color="auto"/>
        <w:right w:val="none" w:sz="0" w:space="0" w:color="auto"/>
      </w:divBdr>
      <w:divsChild>
        <w:div w:id="1956204903">
          <w:marLeft w:val="547"/>
          <w:marRight w:val="0"/>
          <w:marTop w:val="154"/>
          <w:marBottom w:val="0"/>
          <w:divBdr>
            <w:top w:val="none" w:sz="0" w:space="0" w:color="auto"/>
            <w:left w:val="none" w:sz="0" w:space="0" w:color="auto"/>
            <w:bottom w:val="none" w:sz="0" w:space="0" w:color="auto"/>
            <w:right w:val="none" w:sz="0" w:space="0" w:color="auto"/>
          </w:divBdr>
        </w:div>
      </w:divsChild>
    </w:div>
    <w:div w:id="1881551622">
      <w:bodyDiv w:val="1"/>
      <w:marLeft w:val="0"/>
      <w:marRight w:val="0"/>
      <w:marTop w:val="0"/>
      <w:marBottom w:val="0"/>
      <w:divBdr>
        <w:top w:val="none" w:sz="0" w:space="0" w:color="auto"/>
        <w:left w:val="none" w:sz="0" w:space="0" w:color="auto"/>
        <w:bottom w:val="none" w:sz="0" w:space="0" w:color="auto"/>
        <w:right w:val="none" w:sz="0" w:space="0" w:color="auto"/>
      </w:divBdr>
    </w:div>
    <w:div w:id="213374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2023-06-15T03:28:00Z</dcterms:created>
  <dcterms:modified xsi:type="dcterms:W3CDTF">2023-06-15T04:18:00Z</dcterms:modified>
</cp:coreProperties>
</file>