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Подготовка к контрольным 100 км в степи</w:t>
      </w:r>
    </w:p>
    <w:p>
      <w:r>
        <w:t>Редакция от 16 октября 2026 года. Цель сохраняется: контрольные до 100 км 2 августа 2027 года в светлую часть дня с подготовленными водой питанием и выходом с маршрута. 3 августа — восстановление. Период ежедневного плана 5 октября 2026 — 3 августа 2027, недели 6–49. Часы начала занятий не назначаются.</w:t>
      </w:r>
    </w:p>
    <w:p>
      <w:pPr>
        <w:pStyle w:val="Heading1"/>
      </w:pPr>
      <w:r>
        <w:t>Текущая база и следующий шаг</w:t>
      </w:r>
    </w:p>
    <w:p>
      <w:r>
        <w:t>Подтверждены две отдельные тренировки: 27 сентября — 35,41 км, средняя ЧСС 152; 4 октября — 30,8 км, средняя ЧСС 156, максимальное зарегистрированное значение 183. Два снимка 4 октября показывают одну сессию и не суммируются. Кроме них был бег в другие дни; точные недельные суммы и текущую реакцию колена нужно внести в трекер. Эти исторические результаты не являются подтверждением текущего восстановления.</w:t>
      </w:r>
    </w:p>
    <w:p>
      <w:r>
        <w:t>Базу нельзя больше описывать как обязательный нулевой реабилитационный старт. Однако две длительные подряд не заменяют устойчивого распределённого объёма. Первые четыре недели дают потолки 32, 38, 40 и 30 км. Это временное закрепление частоты после двух длинных воскресений. Длительные 16–20 км оставляют силы на будний бег и силовую. Недополученные километры не превращаются в долг.</w:t>
      </w:r>
    </w:p>
    <w:p>
      <w:r>
        <w:t>5 октября в исходном календаре — отдых от бега. Сохраняй назначенный порядок возвращения и оценивай текущее состояние перед каждой сессией. Прошедшая дата сама по себе не означает выполненную тренировку.</w:t>
      </w:r>
    </w:p>
    <w:p>
      <w:pPr>
        <w:pStyle w:val="Heading1"/>
      </w:pPr>
      <w:r>
        <w:t>Как принимать решение перед каждой сессией</w:t>
      </w:r>
    </w:p>
    <w:p>
      <w:r>
        <w:t>Зелёный статус: обычная походка и лестница, нет отёка и подкашивания, состояние утром исходное, усталость не меняет технику. Во время лёгкой сессии ориентир боли 0–2/10 может использоваться как рабочий потолок наблюдения, но он не разрешает продолжать при её нарастании. Не требуется терпеть боль ради цифры.</w:t>
      </w:r>
    </w:p>
    <w:p>
      <w:r>
        <w:t>Жёлтый статус: нарастающий дискомфорт, заметно худшее утро, необычная скованность, недосып или усталость, из-за которой усилие выше обычного. Сократи работу примерно на 20–40%, перейди на ходьбу или замени доступным лёгким кросс-тренингом. Если симптом не уходит или повторяется, нужна очная оценка. Новая нагрузка не добавляется.</w:t>
      </w:r>
    </w:p>
    <w:p>
      <w:r>
        <w:t>Красный статус: боль меняет шаг, появился выраженный отёк, блокировка, подкашивание или невозможно нормально опереться. Бег прекращается. Горячий красный сустав, лихорадка, выраженная травма, боль в груди, обморок, спутанность и нарушение координации требуют срочной медицинской оценки. На длинной дистанции заранее нужен способ выйти к помощи, а не только приложение на телефоне.</w:t>
      </w:r>
    </w:p>
    <w:p>
      <w:r>
        <w:t>Проверяй колено до охлаждения, после нагрузки и следующим утром. Холод может облегчить ощущение, но не доказывает отсутствие реакции. Не используй обезболивающие, чтобы пройти допуск или закончить километры. Программа силовой при возвращении боли индивидуализируется со специалистом.</w:t>
      </w:r>
    </w:p>
    <w:p>
      <w:pPr>
        <w:pStyle w:val="Heading1"/>
      </w:pPr>
      <w:r>
        <w:t>Нагрузка и периодизация</w:t>
      </w:r>
    </w:p>
    <w:p>
      <w:r>
        <w:t>Календарь задаёт верхние пределы, а не обязательный минимальный километраж. Базовые блоки используют три недели развития и одну облегчённую. На этапе сверхдлительных цикл уступает место отдельным восстановительным неделям после ключевых сессий. Увеличивается один главный параметр за раз: частота, длительность или интенсивность. Скоростная работа не добавляется одновременно с ростом длительной.</w:t>
      </w:r>
    </w:p>
    <w:p>
      <w:r>
        <w:t>Для каждой недели записывай беговые километры, максимальную отдельную сессию, RPE, реакцию колена и восстановление. Километры велосипеда не складываются с километрами бега. Разовая дистанция проверяется относительно действительно выполненных недавних тренировок; календарь не создаёт допуск после перерыва.</w:t>
      </w:r>
    </w:p>
    <w:p>
      <w:r>
        <w:t>Наблюдательное исследование 5205 бегунов связало увеличение разовой дистанции более чем на 10% относительно максимума предшествующих 30 дней с повышенной частотой overuse-травм. Оно не даёт универсального безопасного правила «до 10% можно всегда» и не доказывает причинность каждого случая. В этом плане превышение — повод сократить цель и проверить предпосылки, а не автоматическое разрешение, если число ниже.</w:t>
      </w:r>
    </w:p>
    <w:p>
      <w:r>
        <w:t>После болезни, перерыва или жёлтой реакции вернись к последней действительно переносимой неделе, а не к календарному пику. Дату контрольной попытки можно сохранить, но её формат и дистанция меняются, если допуски не достигнуты. Ключевые 60–80 км нельзя «догнать» в июле.</w:t>
      </w:r>
    </w:p>
    <w:p>
      <w:pPr>
        <w:pStyle w:val="Heading1"/>
      </w:pPr>
      <w:r>
        <w:t>Интенсивность ЧСС и калибровка</w:t>
      </w:r>
    </w:p>
    <w:p>
      <w:r>
        <w:t>Лёгкий бег и длительная: RPE 2–3 из 10, разговор полными предложениями. Восстановительный бег: RPE 1–2. Во время жары, ветра или ухудшения восстановления темп уменьшается. Длительная не становится темповой из-за отставания от плана.</w:t>
      </w:r>
    </w:p>
    <w:p>
      <w:r>
        <w:t>Средняя ЧСС 152–156 на двух длинных не задаёт твою Z2. Неизвестны индивидуальные пороги, влияние погоды и точность датчика. Максимум 183 в записи тоже не является измеренной МЧСС. Формула по возрасту слишком приблизительна для точного личного коридора.</w:t>
      </w:r>
    </w:p>
    <w:p>
      <w:r>
        <w:t>Калибровки остаются на 4 ноября 2026 и 10 марта 2027. Выполни привычную лёгкую сессию с ровным RPE 3 и разговором полными предложениями. Сравни две части основного участка по ЧСС и усилию, запиши погоду, восстановление, жидкость и датчик. Не увеличивай привычную нагрузку ради теста. Это наблюдение лёгкого усилия, а не измерение аэробного порога.</w:t>
      </w:r>
    </w:p>
    <w:p>
      <w:r>
        <w:t>Более точные зоны получают по соответствующему тесту со специалистом. До этого в календаре управляет RPE. Если ЧСС заметно выше твоей обычной при том же усилии, ищи причину и сокращай работу. Умеренные фрагменты RPE 4–5 можно обсуждать только после устойчивого базового блока; они не являются обязательным условием 100 км и не назначены в первых восьми неделях обновления.</w:t>
      </w:r>
    </w:p>
    <w:p>
      <w:pPr>
        <w:pStyle w:val="Heading1"/>
      </w:pPr>
      <w:r>
        <w:t>Порядок сессий и безопасность</w:t>
      </w:r>
    </w:p>
    <w:p>
      <w:r>
        <w:t>Понедельник и среда сохраняют короткие беговые назначения; четверг — силовая или восстановление. Субботний лёгкий бег готовит к воскресенью. Ключевые длительные остаются по воскресеньям. Доступность маршрута и возвращение в общежитие учитываются до выхода. Если задача не помещается в доступную часть дня, сокращается дистанция. Ускорение и перенос в небезопасную темноту не используются.</w:t>
      </w:r>
    </w:p>
    <w:p>
      <w:r>
        <w:t>В осенне-зимний период вечернее окно может быть тёмным. Бег возможен только на безопасном освещённом замкнутом маршруте либо в подходящем помещении, если оно действительно доступно. Открытая степь в темноте не используется. Если безопасного варианта нет, замени вечернюю сессию доступной безударной работой или отдыхом; не переноси весь недобор на воскресенье. Без таких маршрутов зимние беговые потолки могут быть невыполнимы — тогда удерживается доступный объём, а весной пересматривается готовность.</w:t>
      </w:r>
    </w:p>
    <w:p>
      <w:r>
        <w:t>Шоссейный велосипед предусмотрен с февраля 2027 при фактическом наличии. До него кросс-тренинг не требует покупки: доступная ходьба, разрешённое плавание или другой уже имеющийся вариант. Эллипс и дорожка не предполагаются доступными по умолчанию. Ночью в степи на велосипеде тоже не тренируются.</w:t>
      </w:r>
    </w:p>
    <w:p>
      <w:pPr>
        <w:pStyle w:val="Heading1"/>
      </w:pPr>
      <w:r>
        <w:t>Силовая работа в зале и дома</w:t>
      </w:r>
    </w:p>
    <w:p>
      <w:r>
        <w:t>S1 по четвергам. Первые две недели: присед с собственным весом в комфортной амплитуде 2×8–12, ягодичный мост 2×12–15, икры с опорой 2×12–15, тяга резинки 2×10–15, боковая планка 2×20–30 секунд на сторону. С недели 8 при хорошей реакции: присед или сплит-присед с опорой 3×8–12, мост 3×12–15, икры 3×12–20, тяга резинки 3×10–15, боковая планка 3×20–40 секунд. Не делать оба варианта приседа одновременно. Рабочие подходы не добавляются.</w:t>
      </w:r>
    </w:p>
    <w:p>
      <w:r>
        <w:t>S2 по средам отдельно от бега: боковые шаги с резинкой 2×10 на сторону, короткая стопа 2×5 удержаний по 5 секунд, баланс 2×30 секунд на ногу, dead bug 2×8 на сторону. После длинных и в пиковые недели отменяется при остаточной усталости.</w:t>
      </w:r>
    </w:p>
    <w:p>
      <w:r>
        <w:t>Прежние отжимания и пресс допустимы только в уже переносимом объёме и не являются новым ежедневным долгом. Стопа и баланс остаются опцией. Подъёмы на носки не добавляются во все дни поверх S1.</w:t>
      </w:r>
    </w:p>
    <w:p>
      <w:r>
        <w:t>При прогрессии меняется один параметр, без работы до отказа. На неделях с длительной от 45 км S1 сокращается до 1–2 лёгких подходов без новых упражнений. На неделях 43 и 48 только привычная лёгкая активация или отмена при усталости. 27 июня, 2 и 3 августа силовой нет.</w:t>
      </w:r>
    </w:p>
    <w:p>
      <w:r>
        <w:t>При внешнем зале заранее учитывается дорога и прежний срок возвращения в общежитие. Рабочие подходы S1 и S2 не увеличиваются ради заполнения свободного промежутка. При нехватке доступности сокращается занятие.</w:t>
      </w:r>
    </w:p>
    <w:p>
      <w:r>
        <w:t>Клиническое руководство по пателлофеморальной боли поддерживает индивидуально подобранные упражнения для колена и при необходимости бедра вместе с обучением управлению нагрузкой. Оно не подтверждает именно эти повторения для каждого человека. При симптомах важнее очная оценка и подбор, чем выполнение шаблона.</w:t>
      </w:r>
    </w:p>
    <w:p>
      <w:pPr>
        <w:pStyle w:val="Heading1"/>
      </w:pPr>
      <w:r>
        <w:t>Кросс тренинг back to back и рюкзак</w:t>
      </w:r>
    </w:p>
    <w:p>
      <w:r>
        <w:t>С февраля пятничный бег заменяется доступным лёгким велосипедом или другой безударной работой на RPE 2–3. Это замена, а не добавка. При усталости пятница становится отдыхом. Ходьба допустима как более мягкая активность, но не объявляется равным аэробным стимулом.</w:t>
      </w:r>
    </w:p>
    <w:p>
      <w:r>
        <w:t>Субботний короткий бег перед воскресеньем вводится с недели 22, сначала 6–8 км. Он остаётся RPE 2 и не должен создавать боль или истощение. Максимум в календаре 12 км при сохранении доступности и восстановления. Перед условной репетицией до 80 км суббота — отдых от бега.</w:t>
      </w:r>
    </w:p>
    <w:p>
      <w:r>
        <w:t>Рюкзак служит для проверки переноски фактической воды и экипировки. Начни со знакомой лёгкой сумки на прогулке, затем используй её на части уже назначенной лёгкой сессии. Проверь посадку, натирание и доступ к воде. Дополнительный груз, прыжки и лестничные интервалы ради компенсации степи не назначаются.</w:t>
      </w:r>
    </w:p>
    <w:p>
      <w:pPr>
        <w:pStyle w:val="Heading1"/>
      </w:pPr>
      <w:r>
        <w:t>Питание энергия и восстановление</w:t>
      </w:r>
    </w:p>
    <w:p>
      <w:r>
        <w:t>Длинные сессии требуют доступной энергии. Не совмещай рост объёма с жёстким дефицитом калорий. Устойчивая усталость, ухудшение сна, частые болезни, снижение работоспособности и изменения обычного самочувствия требуют пересмотра нагрузки и питания. Одно число расхода в приложении не является точным планом калорий: часы оценивают его по модели.</w:t>
      </w:r>
    </w:p>
    <w:tbl>
      <w:tblPr>
        <w:tblW w:type="auto" w:w="0"/>
        <w:jc w:val="center"/>
        <w:tblLayout w:type="fixed"/>
        <w:tblLook w:firstColumn="1" w:firstRow="1" w:lastColumn="0" w:lastRow="0" w:noHBand="0" w:noVBand="1" w:val="04A0"/>
      </w:tblPr>
      <w:tblGrid>
        <w:gridCol w:w="2487"/>
        <w:gridCol w:w="2487"/>
        <w:gridCol w:w="2487"/>
        <w:gridCol w:w="2487"/>
      </w:tblGrid>
      <w:tr>
        <w:trPr>
          <w:tblHeader/>
          <w:cantSplit/>
        </w:trPr>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F"/>
          </w:tcPr>
          <w:p>
            <w:pPr>
              <w:spacing w:after="20" w:line="240" w:lineRule="auto"/>
              <w:jc w:val="center"/>
            </w:pPr>
            <w:r>
              <w:rPr>
                <w:rFonts w:ascii="Arial" w:hAnsi="Arial"/>
                <w:b/>
                <w:sz w:val="20"/>
              </w:rPr>
              <w:t>День</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F"/>
          </w:tcPr>
          <w:p>
            <w:pPr>
              <w:spacing w:after="20" w:line="240" w:lineRule="auto"/>
            </w:pPr>
            <w:r>
              <w:rPr>
                <w:rFonts w:ascii="Arial" w:hAnsi="Arial"/>
                <w:b/>
                <w:sz w:val="20"/>
              </w:rPr>
              <w:t>Углеводы ориентир г/кг/сут</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F"/>
          </w:tcPr>
          <w:p>
            <w:pPr>
              <w:spacing w:after="20" w:line="240" w:lineRule="auto"/>
            </w:pPr>
            <w:r>
              <w:rPr>
                <w:rFonts w:ascii="Arial" w:hAnsi="Arial"/>
                <w:b/>
                <w:sz w:val="20"/>
              </w:rPr>
              <w:t>Белок ориентир г/кг/сут</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F"/>
          </w:tcPr>
          <w:p>
            <w:pPr>
              <w:spacing w:after="20" w:line="240" w:lineRule="auto"/>
            </w:pPr>
            <w:r>
              <w:rPr>
                <w:rFonts w:ascii="Arial" w:hAnsi="Arial"/>
                <w:b/>
                <w:sz w:val="20"/>
              </w:rPr>
              <w:t>Как применить</w:t>
            </w:r>
          </w:p>
        </w:tc>
      </w:tr>
      <w:tr>
        <w:trPr>
          <w:cantSplit/>
        </w:trPr>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jc w:val="center"/>
            </w:pPr>
            <w:r>
              <w:rPr>
                <w:rFonts w:ascii="Arial" w:hAnsi="Arial"/>
                <w:b w:val="0"/>
                <w:sz w:val="20"/>
              </w:rPr>
              <w:t>Отдых и короткая работа</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3–5</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1,4–1,8</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Обычные приёмы пищи, достаточная энергия</w:t>
            </w:r>
          </w:p>
        </w:tc>
      </w:tr>
      <w:tr>
        <w:trPr>
          <w:cantSplit/>
        </w:trPr>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jc w:val="center"/>
            </w:pPr>
            <w:r>
              <w:rPr>
                <w:rFonts w:ascii="Arial" w:hAnsi="Arial"/>
                <w:b w:val="0"/>
                <w:sz w:val="20"/>
              </w:rPr>
              <w:t>Регулярная беговая неделя</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4–6</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1,6–2,0</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Добавить доступные крупы, хлеб, фрукты, молочные/белковые продукты</w:t>
            </w:r>
          </w:p>
        </w:tc>
      </w:tr>
      <w:tr>
        <w:trPr>
          <w:cantSplit/>
        </w:trPr>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jc w:val="center"/>
            </w:pPr>
            <w:r>
              <w:rPr>
                <w:rFonts w:ascii="Arial" w:hAnsi="Arial"/>
                <w:b w:val="0"/>
                <w:sz w:val="20"/>
              </w:rPr>
              <w:t>Длинная или насыщенный день</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5–8</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1,6–2,0</w:t>
            </w:r>
          </w:p>
        </w:tc>
        <w:tc>
          <w:tcPr>
            <w:tcW w:type="dxa" w:w="248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20" w:line="240" w:lineRule="auto"/>
            </w:pPr>
            <w:r>
              <w:rPr>
                <w:rFonts w:ascii="Arial" w:hAnsi="Arial"/>
                <w:b w:val="0"/>
                <w:sz w:val="20"/>
              </w:rPr>
              <w:t>Углеводы до, во время и после; ориентироваться на переносимость</w:t>
            </w:r>
          </w:p>
        </w:tc>
      </w:tr>
    </w:tbl>
    <w:p/>
    <w:p>
      <w:r>
        <w:t>Это стартовые ориентиры, а не обязательные числа независимо от аппетита и энергозатрат. Для прежнего веса 77 кг белок 1,6 г/кг означает около 123 г/сут; если вес изменился, расчёт меняется. Жиры сохраняются как часть достаточного рациона, без попытки свести их к нулю. На ограниченном бюджете сначала обеспечь нормальную еду и воду; добавки и дорогие гели не обязательны.</w:t>
      </w:r>
    </w:p>
    <w:p>
      <w:r>
        <w:t>На тренировках дольше 90 минут начни с 30–45 г углеводов в час небольшими порциями. После нескольких спокойных проб доведи проверяемый диапазон до 45–60 г/ч; 60–75 г/ч рассматриваются только при переносимости и необходимости. Не нужно резко переходить на 90 г/ч. На попытке используется диапазон, многократно испытанный на похожей длительности. 60 г/ч — это 15 г каждые 15 минут; считай по упаковкам и составу, а не по числу любых гелей.</w:t>
      </w:r>
    </w:p>
    <w:p>
      <w:r>
        <w:t>Воду выбирай по жажде, погоде и тренировочным наблюдениям. Пить «на всякий случай» сверх потерь опасно; натрий не устраняет риск избыточного питья. Потери пота можно приблизительно оценить по массе до/после с учётом выпитого и мочи, но не превращать расчёт в приказ восполнить каждый миллилитр прямо на дистанции. Продукты с солью или проверенный напиток помогают учесть длительность и условия; универсальной персональной дозы натрия здесь нет.</w:t>
      </w:r>
    </w:p>
    <w:p>
      <w:r>
        <w:t>Для каждой длительной записывай продукты, г/ч, жидкость, погоду, ЖКТ, темп и ясность мышления. Не пробуй новую еду на 80 км или 100 км. После работы — обычный приём пищи с углеводами и белком, сон и спокойная активность по состоянию. Среднее восстановление для календаря не заменяет твоё фактическое. Цель сна — устойчивые 8–9 часов по возможности; поздний учебный блок не должен регулярно отнимать сон.</w:t>
      </w:r>
    </w:p>
    <w:p>
      <w:pPr>
        <w:pStyle w:val="Heading1"/>
      </w:pPr>
      <w:r>
        <w:t>Ключевые длительные и условные 80 км</w:t>
      </w:r>
    </w:p>
    <w:p>
      <w:r>
        <w:t>В календаре сохраняется воскресенье 27 июня 2027 как одна подготовительная сессия до 80 км, за 36 дней до цели. Она не является обязательной нормой и не получает «допуск» только из календарной даты. Основной путь подготовки — устойчивый недельный объём, лёгкое усилие, силовая, питание и восстановление.</w:t>
      </w:r>
    </w:p>
    <w:p>
      <w:r>
        <w:t>Перед 80 км нужны месяцы регулярного бега, отсутствие реакции колена, успешно перенесённые предыдущие ключевые сессии и восстановление после последней. В плане предусмотрены условные длительные 50, 60 и 65 км с облегченными неделями. Они тоже могут закончиться раньше по времени и состоянию. Переход 65→80 остаётся существенным; не добавляй ещё одну 70–75 км только ради красивой лестницы. Если предпосылки не выполнены, 27 июня ограничивается 50–60 км или отменяется. Для такой почти соревновательной нагрузки после прежней боли разумна индивидуальная оценка спортивного специалиста.</w:t>
      </w:r>
    </w:p>
    <w:p>
      <w:r>
        <w:t>Неделя 43 имеет верхний предел 94 км: 4 + 5 + 5 + 0 + 0 + 0 + до 80. Два дня перед воскресеньем полностью разгружены. На 50, 60 и 70 км отдельно оцениваются походка, боль, отёк, питание, ЖКТ, температура, ясность и возможность безопасного возвращения. 60–70 км — полноценная репетиция. При жёлтом сигнале завершай, при красном — прекращай движение и организуй помощь. Отсечка не является обещанием продолжить до следующей точки.</w:t>
      </w:r>
    </w:p>
    <w:p>
      <w:r>
        <w:t>Используется только заранее проверенная схема бега и ходьбы. Маршрут должен иметь короткие выходы, воду, еду и связь. Пройти его нужно в светлую часть дня с запасом. Заранее договорись о контрольной связи и способе получить помощь.</w:t>
      </w:r>
    </w:p>
    <w:p>
      <w:r>
        <w:t>28 июня — 0 км. Неделя 44 максимум 28 км и начинается с восстановления; нулевой бег остаётся правильным результатом при неполном восстановлении. Затем предусмотрены поддержание и трёхнедельный тейпер. Новых сверхдлительных после 27 июня нет.</w:t>
      </w:r>
    </w:p>
    <w:p>
      <w:pPr>
        <w:pStyle w:val="Heading1"/>
      </w:pPr>
      <w:r>
        <w:t>Жара погода и контрольная попытка</w:t>
      </w:r>
    </w:p>
    <w:p>
      <w:r>
        <w:t>Перед контрольной попыткой знакомство с теплом допустимо только как замена части обычной лёгкой работы при безопасных условиях. Оно не добавляется поверх календарной нагрузки и само по себе не гарантирует полной акклиматизации. Опасная жара и утепление ради стресса не используются.</w:t>
      </w:r>
    </w:p>
    <w:p>
      <w:r>
        <w:t>Нужны вода, тень, короткий путь выхода и связь. При выраженной жаре нагрузка сокращается или отменяется. Прогноз, местные предупреждения и реальная граница светлого маршрута проверяются перед ключевой сессией. Точная локация не задана, поэтому персональные отсечки здесь не рассчитываются.</w:t>
      </w:r>
    </w:p>
    <w:p>
      <w:r>
        <w:t>Две исторические пробежки на 30–35 км не подтверждают готовность поддерживать нужный для 100 км темп и логистику. До попытки проверь фактическую переносимость, питание, светлую часть маршрута и выходы. Если запаса нет, сокращается дистанция. Цель не является обещанным результатом.</w:t>
      </w:r>
    </w:p>
    <w:p/>
    <w:p>
      <w:r>
        <w:t>Логистические отсечки задаются заранее по маршруту и фактическому дневному окну. Если средний темп, жара или состояние лишают запаса, сокращается дистанция. Ускоряться через боль или пропускать воду ради дедлайна нельзя. Формат 100 км за день остаётся целью, а не обещанным результатом.</w:t>
      </w:r>
    </w:p>
    <w:p>
      <w:pPr>
        <w:pStyle w:val="Heading1"/>
      </w:pPr>
      <w:r>
        <w:t>Источники и пределы применения</w:t>
      </w:r>
    </w:p>
    <w:p>
      <w:pPr>
        <w:pStyle w:val="ListBullet"/>
        <w:spacing w:after="60" w:line="240" w:lineRule="auto"/>
      </w:pPr>
      <w:r>
        <w:rPr>
          <w:sz w:val="19"/>
        </w:rPr>
        <w:t xml:space="preserve">Neal и соавт., 2024. Best practice guide for patellofemoral pain. Упражнения и образование подбираются по клинической оценке. </w:t>
      </w:r>
      <w:hyperlink r:id="rId10">
        <w:r>
          <w:rPr>
            <w:color w:val="1F4E78"/>
            <w:sz w:val="19"/>
          </w:rPr>
          <w:t>https://pubmed.ncbi.nlm.nih.gov/39401870/</w:t>
        </w:r>
      </w:hyperlink>
      <w:r>
        <w:rPr>
          <w:sz w:val="19"/>
        </w:rPr>
      </w:r>
    </w:p>
    <w:p>
      <w:pPr>
        <w:pStyle w:val="ListBullet"/>
        <w:spacing w:after="60" w:line="240" w:lineRule="auto"/>
      </w:pPr>
      <w:r>
        <w:rPr>
          <w:sz w:val="19"/>
        </w:rPr>
        <w:t xml:space="preserve">Frandsen и соавт., 2025. How much running is too much? 5205 runners. Наблюдательная связь разовых скачков и травм, не гарантия индивидуального безопасного процента. </w:t>
      </w:r>
      <w:hyperlink r:id="rId11">
        <w:r>
          <w:rPr>
            <w:color w:val="1F4E78"/>
            <w:sz w:val="19"/>
          </w:rPr>
          <w:t>https://pubmed.ncbi.nlm.nih.gov/40623829/</w:t>
        </w:r>
      </w:hyperlink>
      <w:r>
        <w:rPr>
          <w:sz w:val="19"/>
        </w:rPr>
      </w:r>
    </w:p>
    <w:p>
      <w:pPr>
        <w:pStyle w:val="ListBullet"/>
        <w:spacing w:after="60" w:line="240" w:lineRule="auto"/>
      </w:pPr>
      <w:r>
        <w:rPr>
          <w:sz w:val="19"/>
        </w:rPr>
        <w:t xml:space="preserve">ISSN position stand, 2019. Nutritional considerations for single-stage ultra-marathon training and racing. Индивидуальная переносимость и энергия имеют приоритет над жёсткой универсальной дозировкой. </w:t>
      </w:r>
      <w:hyperlink r:id="rId12">
        <w:r>
          <w:rPr>
            <w:color w:val="1F4E78"/>
            <w:sz w:val="19"/>
          </w:rPr>
          <w:t>https://pubmed.ncbi.nlm.nih.gov/31699159/</w:t>
        </w:r>
      </w:hyperlink>
      <w:r>
        <w:rPr>
          <w:sz w:val="19"/>
        </w:rPr>
      </w:r>
    </w:p>
    <w:p>
      <w:pPr>
        <w:pStyle w:val="ListBullet"/>
        <w:spacing w:after="60" w:line="240" w:lineRule="auto"/>
      </w:pPr>
      <w:r>
        <w:rPr>
          <w:sz w:val="19"/>
        </w:rPr>
        <w:t xml:space="preserve">Wang и соавт., 2023. Effects of tapering on performance in endurance athletes. Общие выводы не задают точный тейпер после индивидуальной 80-км сессии. </w:t>
      </w:r>
      <w:hyperlink r:id="rId13">
        <w:r>
          <w:rPr>
            <w:color w:val="1F4E78"/>
            <w:sz w:val="19"/>
          </w:rPr>
          <w:t>https://pubmed.ncbi.nlm.nih.gov/37163550/</w:t>
        </w:r>
      </w:hyperlink>
      <w:r>
        <w:rPr>
          <w:sz w:val="19"/>
        </w:rPr>
      </w:r>
    </w:p>
    <w:p>
      <w:pPr>
        <w:pStyle w:val="ListBullet"/>
        <w:spacing w:after="60" w:line="240" w:lineRule="auto"/>
      </w:pPr>
      <w:r>
        <w:rPr>
          <w:sz w:val="19"/>
        </w:rPr>
        <w:t xml:space="preserve">Racinais и соавт., 2015. Consensus recommendations on training and competing in the heat. </w:t>
      </w:r>
      <w:hyperlink r:id="rId14">
        <w:r>
          <w:rPr>
            <w:color w:val="1F4E78"/>
            <w:sz w:val="19"/>
          </w:rPr>
          <w:t>https://pubmed.ncbi.nlm.nih.gov/26069301/</w:t>
        </w:r>
      </w:hyperlink>
      <w:r>
        <w:rPr>
          <w:sz w:val="19"/>
        </w:rPr>
      </w:r>
    </w:p>
    <w:p>
      <w:pPr>
        <w:spacing w:after="60" w:line="240" w:lineRule="auto"/>
      </w:pPr>
      <w:r>
        <w:rPr>
          <w:sz w:val="19"/>
        </w:rPr>
        <w:t>Потолки и распределение этого календаря являются планировочным решением с учётом времени и сообщённого опыта. Они не выводятся непосредственно из отдельного исследования. Прежняя ссылка PMID 21642857 относилась к 24-часовому бегу и не используется как доказательство обязательной длительной для 100 км.</w:t>
      </w:r>
    </w:p>
    <w:p>
      <w:pPr>
        <w:spacing w:after="60" w:line="240" w:lineRule="auto"/>
      </w:pPr>
      <w:r>
        <w:rPr>
          <w:sz w:val="19"/>
        </w:rPr>
        <w:t>Факт реакции колена и восстановления: _________________________________________________________</w:t>
      </w:r>
    </w:p>
    <w:sectPr w:rsidR="00FC693F" w:rsidRPr="0006063C" w:rsidSect="00034616">
      <w:footerReference w:type="default" r:id="rId9"/>
      <w:pgSz w:w="11905" w:h="16838"/>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rFonts w:ascii="Arial" w:hAnsi="Arial"/>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med.ncbi.nlm.nih.gov/39401870/" TargetMode="External"/><Relationship Id="rId11" Type="http://schemas.openxmlformats.org/officeDocument/2006/relationships/hyperlink" Target="https://pubmed.ncbi.nlm.nih.gov/40623829/" TargetMode="External"/><Relationship Id="rId12" Type="http://schemas.openxmlformats.org/officeDocument/2006/relationships/hyperlink" Target="https://pubmed.ncbi.nlm.nih.gov/31699159/" TargetMode="External"/><Relationship Id="rId13" Type="http://schemas.openxmlformats.org/officeDocument/2006/relationships/hyperlink" Target="https://pubmed.ncbi.nlm.nih.gov/37163550/" TargetMode="External"/><Relationship Id="rId14" Type="http://schemas.openxmlformats.org/officeDocument/2006/relationships/hyperlink" Target="https://pubmed.ncbi.nlm.nih.gov/26069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Подготовка к контрольным 100 км в степи</dc:title>
  <dc:subject>Теория и воспроизводимая учебная практика</dc:subject>
  <dc:creator/>
  <cp:keywords/>
  <dc:description/>
  <cp:lastModifiedBy/>
  <cp:revision>1</cp:revision>
  <dcterms:created xsi:type="dcterms:W3CDTF">2013-12-23T23:15:00Z</dcterms:created>
  <dcterms:modified xsi:type="dcterms:W3CDTF">2013-12-23T23:15:00Z</dcterms:modified>
  <cp:category/>
</cp:coreProperties>
</file>