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7C8B9F6A" w:rsidR="00C933FA" w:rsidRDefault="00C933FA">
      <w:r>
        <w:t>Who’s sticking up for the working class?</w:t>
      </w:r>
    </w:p>
    <w:p w14:paraId="21812FC7" w14:textId="0B670D39" w:rsidR="0094478B" w:rsidRDefault="00755638" w:rsidP="00446C58">
      <w:pPr>
        <w:jc w:val="both"/>
      </w:pPr>
      <w:r>
        <w:t xml:space="preserve">I’ve been turning over an idea in my head these last few weeks. </w:t>
      </w:r>
      <w:r w:rsidR="00446C58">
        <w:t xml:space="preserve">I’ve been trying for the life of me to think of reasons why it wouldn’t work, or how it might already have been tried. </w:t>
      </w:r>
      <w:r w:rsidR="0094478B">
        <w:t>I failed on both counts.</w:t>
      </w:r>
      <w:r w:rsidR="00916BA4">
        <w:t xml:space="preserve"> </w:t>
      </w:r>
    </w:p>
    <w:p w14:paraId="0A840953" w14:textId="77777777" w:rsidR="0094478B" w:rsidRDefault="0094478B" w:rsidP="00446C58">
      <w:pPr>
        <w:jc w:val="both"/>
      </w:pPr>
    </w:p>
    <w:p w14:paraId="33CB39D8" w14:textId="63A9F760" w:rsidR="0094478B" w:rsidRDefault="0094478B" w:rsidP="00446C58">
      <w:pPr>
        <w:jc w:val="both"/>
        <w:rPr>
          <w:b/>
        </w:rPr>
      </w:pPr>
      <w:r>
        <w:rPr>
          <w:b/>
        </w:rPr>
        <w:t>The century of the working man</w:t>
      </w:r>
    </w:p>
    <w:p w14:paraId="68BA810E" w14:textId="0AF8EF5D" w:rsidR="0094478B" w:rsidRDefault="0094478B" w:rsidP="00446C58">
      <w:pPr>
        <w:jc w:val="both"/>
      </w:pPr>
      <w:r>
        <w:t>The 20</w:t>
      </w:r>
      <w:r w:rsidRPr="0094478B">
        <w:rPr>
          <w:vertAlign w:val="superscript"/>
        </w:rPr>
        <w:t>th</w:t>
      </w:r>
      <w:r w:rsidR="00A50048">
        <w:t xml:space="preserve"> century </w:t>
      </w:r>
      <w:r w:rsidR="00916BA4">
        <w:t>belonged to</w:t>
      </w:r>
      <w:r w:rsidR="00A50048">
        <w:t xml:space="preserve"> the working man. For the first time,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rsidR="00916BA4">
        <w:t xml:space="preserve"> In the world of work, i</w:t>
      </w:r>
      <w:r w:rsidR="00A50048">
        <w:t>t was the century when organised labour got its act together</w:t>
      </w:r>
      <w:r w:rsidR="00916BA4">
        <w:t>.</w:t>
      </w:r>
      <w:r w:rsidR="00D25B2E">
        <w:t xml:space="preserve"> In politics, we saw the rise of the Labour Party as the defender of the working class.</w:t>
      </w:r>
      <w:r w:rsidR="00916BA4">
        <w:t xml:space="preserve"> The power of unscrupulous employers and rentiers was reined in by that of worker solidarity. The nation state was at the height of its power, y</w:t>
      </w:r>
      <w:r w:rsidR="0078528C">
        <w:t xml:space="preserve">et the source of that power was the conscripted solider; </w:t>
      </w:r>
      <w:r w:rsidR="0078528C" w:rsidRPr="0078528C">
        <w:t>l</w:t>
      </w:r>
      <w:r w:rsidR="00916BA4" w:rsidRPr="0078528C">
        <w:t>ose</w:t>
      </w:r>
      <w:r w:rsidR="00916BA4">
        <w:t xml:space="preserve"> the support of the working class,</w:t>
      </w:r>
      <w:r w:rsidR="007A4861">
        <w:t xml:space="preserve"> and your armies would dissolve and desert in the face of the enemy</w:t>
      </w:r>
      <w:r w:rsidR="002B68F3">
        <w:t>, as the Russians experienced in 1917 (</w:t>
      </w:r>
      <w:hyperlink r:id="rId5" w:history="1">
        <w:r w:rsidR="002B68F3" w:rsidRPr="003621DD">
          <w:rPr>
            <w:rStyle w:val="Hyperlink"/>
          </w:rPr>
          <w:t>http://www.bbc.co.uk/history/worldwars/wwone/eastern_front_01.shtml</w:t>
        </w:r>
      </w:hyperlink>
      <w:r w:rsidR="002B68F3">
        <w:t>)</w:t>
      </w:r>
      <w:r w:rsidR="007A4861">
        <w:t>.</w:t>
      </w:r>
      <w:r w:rsidR="002B68F3">
        <w:t xml:space="preserve"> </w:t>
      </w:r>
      <w:r w:rsidR="00916BA4">
        <w:t xml:space="preserve"> </w:t>
      </w:r>
    </w:p>
    <w:p w14:paraId="71CA023C" w14:textId="17F44C52" w:rsidR="00D25B2E" w:rsidRPr="003D2422" w:rsidRDefault="00D25B2E" w:rsidP="00446C58">
      <w:pPr>
        <w:jc w:val="both"/>
        <w:rPr>
          <w:u w:val="single"/>
        </w:rPr>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 xml:space="preserve">. For those who hadn’t or were unable to find work, </w:t>
      </w:r>
      <w:r w:rsidR="00702535">
        <w:t>an ever-expan</w:t>
      </w:r>
      <w:r w:rsidR="00007F03">
        <w:t>ding social safety net was</w:t>
      </w:r>
      <w:r w:rsidR="00702535">
        <w:t xml:space="preserve"> introduced (particularly by the 1945 Labour government). Houses were being built, and </w:t>
      </w:r>
      <w:r w:rsidR="00F93BD3">
        <w:t xml:space="preserve">were more affordable </w:t>
      </w:r>
    </w:p>
    <w:p w14:paraId="0CABBF01" w14:textId="77777777" w:rsidR="0094478B" w:rsidRDefault="0094478B" w:rsidP="00446C58">
      <w:pPr>
        <w:jc w:val="both"/>
      </w:pPr>
    </w:p>
    <w:p w14:paraId="433FF421" w14:textId="38ACC276" w:rsidR="00702535" w:rsidRDefault="00C26697" w:rsidP="00446C58">
      <w:pPr>
        <w:jc w:val="both"/>
      </w:pPr>
      <w:hyperlink r:id="rId6" w:history="1">
        <w:r w:rsidR="00702535" w:rsidRPr="003621DD">
          <w:rPr>
            <w:rStyle w:val="Hyperlink"/>
          </w:rPr>
          <w:t>https://www.ons.gov.uk/peoplepopulationandcommunity/housing/bulletins/housingaffordabilityinenglandandwales/1997to2016</w:t>
        </w:r>
      </w:hyperlink>
    </w:p>
    <w:p w14:paraId="4F482DFA" w14:textId="77777777" w:rsidR="00702535" w:rsidRPr="00702535" w:rsidRDefault="00702535" w:rsidP="00446C58">
      <w:pPr>
        <w:jc w:val="both"/>
        <w:rPr>
          <w:u w:val="single"/>
        </w:rPr>
      </w:pPr>
    </w:p>
    <w:p w14:paraId="078564C5" w14:textId="77777777" w:rsidR="00702535" w:rsidRDefault="00702535" w:rsidP="00446C58">
      <w:pPr>
        <w:jc w:val="both"/>
      </w:pPr>
    </w:p>
    <w:p w14:paraId="23779C41" w14:textId="77777777" w:rsidR="00702535" w:rsidRDefault="00702535" w:rsidP="00446C58">
      <w:pPr>
        <w:jc w:val="both"/>
      </w:pPr>
    </w:p>
    <w:p w14:paraId="7DD5E2AF" w14:textId="7412B4B7" w:rsidR="00755638" w:rsidRDefault="0094478B" w:rsidP="00446C58">
      <w:pPr>
        <w:jc w:val="both"/>
      </w:pPr>
      <w:r>
        <w:t xml:space="preserve"> I’m open to suggestions from my hordes of readers as to how this could be implemented or why this wouldn’t work</w:t>
      </w:r>
    </w:p>
    <w:p w14:paraId="76408C7F" w14:textId="77777777" w:rsidR="00446C58" w:rsidRDefault="00446C58" w:rsidP="00446C58">
      <w:pPr>
        <w:ind w:left="720" w:hanging="720"/>
        <w:jc w:val="both"/>
      </w:pPr>
    </w:p>
    <w:p w14:paraId="19141543" w14:textId="77777777" w:rsidR="00446C58" w:rsidRDefault="00446C58" w:rsidP="00446C58">
      <w:pPr>
        <w:ind w:left="720" w:hanging="720"/>
        <w:jc w:val="both"/>
      </w:pPr>
    </w:p>
    <w:p w14:paraId="328074D8" w14:textId="77777777" w:rsidR="00446C58" w:rsidRDefault="00446C58" w:rsidP="00755638">
      <w:pPr>
        <w:ind w:left="720" w:hanging="720"/>
      </w:pP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lastRenderedPageBreak/>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r w:rsidR="00E20DE2" w:rsidRPr="00E20DE2">
        <w:t xml:space="preserve"> </w:t>
      </w:r>
      <w:hyperlink r:id="rId7" w:history="1">
        <w:r w:rsidR="00E20DE2" w:rsidRPr="009F0391">
          <w:rPr>
            <w:rStyle w:val="Hyperlink"/>
          </w:rPr>
          <w:t>https://en.wikipedia.org/wiki/Precariat</w:t>
        </w:r>
      </w:hyperlink>
      <w:r w:rsidR="00E20DE2">
        <w:t>) who are much more in need of support.</w:t>
      </w:r>
    </w:p>
    <w:p w14:paraId="1B753F13" w14:textId="68A95245" w:rsidR="007D58EB" w:rsidRDefault="00551964" w:rsidP="007A4861">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C26697" w:rsidP="00BE3B56">
      <w:pPr>
        <w:pStyle w:val="ListParagraph"/>
        <w:numPr>
          <w:ilvl w:val="0"/>
          <w:numId w:val="2"/>
        </w:numPr>
      </w:pPr>
      <w:hyperlink r:id="rId8" w:history="1">
        <w:r w:rsidR="00BE3B56" w:rsidRPr="0037121A">
          <w:rPr>
            <w:rStyle w:val="Hyperlink"/>
          </w:rPr>
          <w:t>https://www.economist.com/news/finance-and-economics/21588900-all-around-world-labour-losing-out-capital-labour-pains</w:t>
        </w:r>
      </w:hyperlink>
    </w:p>
    <w:p w14:paraId="0465641A" w14:textId="55CC5395" w:rsidR="00E20DE2" w:rsidRDefault="00551964" w:rsidP="00551964">
      <w:pPr>
        <w:pStyle w:val="ListParagraph"/>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7A4861">
      <w:pPr>
        <w:pStyle w:val="ListParagraph"/>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ListParagraph"/>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e’ve already decided that relying on the government alone to provide you with an income may be at best unreliable, at worst bad for your freedom</w:t>
      </w:r>
      <w:r>
        <w:t>. T</w:t>
      </w:r>
      <w:r w:rsidR="00C4209A">
        <w:t>hat leaves really only two options:</w:t>
      </w:r>
    </w:p>
    <w:p w14:paraId="4242325A" w14:textId="05165C3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ListParagraph"/>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w:t>
      </w:r>
      <w:r w:rsidR="008D439C">
        <w:lastRenderedPageBreak/>
        <w:t xml:space="preserve">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7A4861">
      <w:pPr>
        <w:pStyle w:val="ListParagraph"/>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ListParagraph"/>
        <w:numPr>
          <w:ilvl w:val="0"/>
          <w:numId w:val="2"/>
        </w:numPr>
      </w:pPr>
      <w:r>
        <w:t xml:space="preserve">Vanguard in the US (the UK model is slightly different) claims to provide a product that meets the first of those two objectives: their passive index funds and ETFs are owned by the customers who buy them, enabling Vanguard to deliver any savings back to customers through lower fees. </w:t>
      </w:r>
    </w:p>
    <w:p w14:paraId="62FC12B3" w14:textId="39B1D604" w:rsidR="00ED6A23" w:rsidRDefault="00ED6A23" w:rsidP="00551964">
      <w:pPr>
        <w:pStyle w:val="ListParagraph"/>
        <w:numPr>
          <w:ilvl w:val="0"/>
          <w:numId w:val="2"/>
        </w:numPr>
      </w:pPr>
      <w:r>
        <w:t>Vanguard assumes your proxy vote at shareholder meetings but doesn’t questions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9"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0"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lastRenderedPageBreak/>
        <w:t xml:space="preserve">[3] Jonathan Cribb, “Income Inequality in the UK”, Institute for Fiscal Studies, URL (accessed 06-04-18): </w:t>
      </w:r>
      <w:hyperlink r:id="rId11"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12"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3"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workers in the industrial sectors were gifted (or rather, won for themselves) a further benefit: that of worker solidarity. Since Victorian times when the bulk of the population migrated off the land and into the factories, the 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lastRenderedPageBreak/>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2A5AEBDE" w:rsidR="00C933FA" w:rsidRDefault="00C933FA">
      <w:pPr>
        <w:rPr>
          <w:color w:val="FF0000"/>
        </w:rPr>
      </w:pPr>
      <w:r w:rsidRPr="00C933FA">
        <w:rPr>
          <w:color w:val="FF0000"/>
        </w:rPr>
        <w:t>* for women of course it was a different story</w:t>
      </w:r>
    </w:p>
    <w:p w14:paraId="14EFBB73" w14:textId="414F33B6" w:rsidR="007C25A0" w:rsidRPr="007C25A0" w:rsidRDefault="007C25A0" w:rsidP="007C25A0">
      <w:r w:rsidRPr="007C25A0">
        <w:t>Notes</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t xml:space="preserve">1983 Q1 -  Development of new house price methodology.  A statistical ‘regression’ technique was introduced under guidance of ‘Fleming and </w:t>
      </w:r>
      <w:proofErr w:type="spellStart"/>
      <w:r w:rsidRPr="007C25A0">
        <w:t>Nellis</w:t>
      </w:r>
      <w:proofErr w:type="spellEnd"/>
      <w:r w:rsidRPr="007C25A0">
        <w:t>’ (Loughborough University 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t>1993 - Informat</w:t>
      </w:r>
      <w:bookmarkStart w:id="0" w:name="_GoBack"/>
      <w:bookmarkEnd w:id="0"/>
      <w:r w:rsidRPr="007C25A0">
        <w:t>ion about neighbourhood classification (ACORN) used in the model were significantly updated following Census 1991 publication - regular updates since but typically for new postcodes.</w:t>
      </w:r>
    </w:p>
    <w:p w14:paraId="215FE165" w14:textId="7656A8BE" w:rsidR="007C25A0" w:rsidRDefault="007C25A0">
      <w:pPr>
        <w:rPr>
          <w:color w:val="FF0000"/>
        </w:rPr>
      </w:pPr>
    </w:p>
    <w:p w14:paraId="7594850B" w14:textId="734BE9A1" w:rsidR="007C25A0" w:rsidRDefault="007E339F">
      <w:pPr>
        <w:rPr>
          <w:color w:val="FF0000"/>
        </w:rPr>
      </w:pPr>
      <w:r w:rsidRPr="007E339F">
        <w:lastRenderedPageBreak/>
        <w:drawing>
          <wp:inline distT="0" distB="0" distL="0" distR="0" wp14:anchorId="44FC2DF5" wp14:editId="33AB8FA0">
            <wp:extent cx="5731510" cy="34493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9381"/>
                    </a:xfrm>
                    <a:prstGeom prst="rect">
                      <a:avLst/>
                    </a:prstGeom>
                    <a:noFill/>
                    <a:ln>
                      <a:noFill/>
                    </a:ln>
                  </pic:spPr>
                </pic:pic>
              </a:graphicData>
            </a:graphic>
          </wp:inline>
        </w:drawing>
      </w: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D0975"/>
    <w:rsid w:val="000D4D53"/>
    <w:rsid w:val="00126CC2"/>
    <w:rsid w:val="00146540"/>
    <w:rsid w:val="00166399"/>
    <w:rsid w:val="002B0B67"/>
    <w:rsid w:val="002B68F3"/>
    <w:rsid w:val="003D2422"/>
    <w:rsid w:val="00446C58"/>
    <w:rsid w:val="00510AA9"/>
    <w:rsid w:val="00551964"/>
    <w:rsid w:val="00590D81"/>
    <w:rsid w:val="005A5521"/>
    <w:rsid w:val="005A650E"/>
    <w:rsid w:val="0063295A"/>
    <w:rsid w:val="00673A0E"/>
    <w:rsid w:val="006C22EA"/>
    <w:rsid w:val="00702535"/>
    <w:rsid w:val="00755638"/>
    <w:rsid w:val="0078528C"/>
    <w:rsid w:val="007A4861"/>
    <w:rsid w:val="007C25A0"/>
    <w:rsid w:val="007D58EB"/>
    <w:rsid w:val="007E339F"/>
    <w:rsid w:val="00844A34"/>
    <w:rsid w:val="0086027B"/>
    <w:rsid w:val="00897978"/>
    <w:rsid w:val="008D439C"/>
    <w:rsid w:val="00916BA4"/>
    <w:rsid w:val="0094478B"/>
    <w:rsid w:val="00A50048"/>
    <w:rsid w:val="00A91D3A"/>
    <w:rsid w:val="00B90E99"/>
    <w:rsid w:val="00BB57FB"/>
    <w:rsid w:val="00BE3B56"/>
    <w:rsid w:val="00C26697"/>
    <w:rsid w:val="00C37284"/>
    <w:rsid w:val="00C4209A"/>
    <w:rsid w:val="00C933FA"/>
    <w:rsid w:val="00CF0E40"/>
    <w:rsid w:val="00D25B2E"/>
    <w:rsid w:val="00D61118"/>
    <w:rsid w:val="00D67E70"/>
    <w:rsid w:val="00D94911"/>
    <w:rsid w:val="00DC5666"/>
    <w:rsid w:val="00E20DE2"/>
    <w:rsid w:val="00EB579B"/>
    <w:rsid w:val="00ED6A23"/>
    <w:rsid w:val="00F030F1"/>
    <w:rsid w:val="00F351B8"/>
    <w:rsid w:val="00F93BD3"/>
    <w:rsid w:val="00FB0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news/finance-and-economics/21588900-all-around-world-labour-losing-out-capital-labour-pains" TargetMode="External"/><Relationship Id="rId13" Type="http://schemas.openxmlformats.org/officeDocument/2006/relationships/hyperlink" Target="https://www.nature.com/articles/s41539-018-0019-8" TargetMode="External"/><Relationship Id="rId3" Type="http://schemas.openxmlformats.org/officeDocument/2006/relationships/settings" Target="settings.xml"/><Relationship Id="rId7" Type="http://schemas.openxmlformats.org/officeDocument/2006/relationships/hyperlink" Target="https://en.wikipedia.org/wiki/Precariat" TargetMode="External"/><Relationship Id="rId12" Type="http://schemas.openxmlformats.org/officeDocument/2006/relationships/hyperlink" Target="https://assets.publishing.service.gov.uk/government/uploads/system/uploads/attachment_data/file/648165/HEIPR_PUBLICATION_2015-16.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ns.gov.uk/peoplepopulationandcommunity/housing/bulletins/housingaffordabilityinenglandandwales/1997to2016" TargetMode="External"/><Relationship Id="rId11" Type="http://schemas.openxmlformats.org/officeDocument/2006/relationships/hyperlink" Target="https://www.ifs.org.uk/docs/ER_JC_2013.pdf" TargetMode="External"/><Relationship Id="rId5" Type="http://schemas.openxmlformats.org/officeDocument/2006/relationships/hyperlink" Target="http://www.bbc.co.uk/history/worldwars/wwone/eastern_front_01.shtml" TargetMode="External"/><Relationship Id="rId15" Type="http://schemas.openxmlformats.org/officeDocument/2006/relationships/fontTable" Target="fontTable.xml"/><Relationship Id="rId10" Type="http://schemas.openxmlformats.org/officeDocument/2006/relationships/hyperlink" Target="https://assets.publishing.service.gov.uk/government/uploads/system/uploads/attachment_data/file/616966/trade-union-membership-statistical-bulletin-2016-rev.pdf" TargetMode="External"/><Relationship Id="rId4" Type="http://schemas.openxmlformats.org/officeDocument/2006/relationships/webSettings" Target="webSettings.xml"/><Relationship Id="rId9" Type="http://schemas.openxmlformats.org/officeDocument/2006/relationships/hyperlink" Target="https://www.economist.com/blogs/economist-explains/2015/09/economist-explains-19"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2190</Words>
  <Characters>12488</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20</cp:revision>
  <dcterms:created xsi:type="dcterms:W3CDTF">2018-03-25T18:49:00Z</dcterms:created>
  <dcterms:modified xsi:type="dcterms:W3CDTF">2018-04-20T12:44:00Z</dcterms:modified>
</cp:coreProperties>
</file>