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left="0" w:right="0"/>
        <w:jc w:val="left"/>
        <w:rPr/>
      </w:pPr>
      <w:r>
        <w:rPr/>
        <w:t>A cybernetic model for analytic network process</w:t>
      </w:r>
    </w:p>
    <w:p>
      <w:pPr>
        <w:sectPr>
          <w:type w:val="nextPage"/>
          <w:pgSz w:w="11906" w:h="16838"/>
          <w:pgMar w:left="1134" w:right="1134" w:gutter="0" w:header="0" w:top="1134" w:footer="0" w:bottom="1134"/>
          <w:pgNumType w:fmt="decimal"/>
          <w:formProt w:val="false"/>
          <w:textDirection w:val="lrTb"/>
        </w:sectPr>
      </w:pPr>
    </w:p>
    <w:p>
      <w:pPr>
        <w:pStyle w:val="BodyText"/>
        <w:bidi w:val="0"/>
        <w:ind w:hanging="0" w:left="0" w:right="0"/>
        <w:jc w:val="left"/>
        <w:rPr/>
      </w:pPr>
      <w:r>
        <w:rPr/>
        <w:t>The phrase “A cybernetic model for analytic network process” refers to a specific methodological development that embeds the Analytic Network Process (ANP) inside a feedback</w:t>
        <w:noBreakHyphen/>
        <w:t>control (cybernetic) structure to deal better with data collection, iteration of judgments, and learning in complex decision problems.</w:t>
      </w:r>
    </w:p>
    <w:p>
      <w:pPr>
        <w:sectPr>
          <w:type w:val="continuous"/>
          <w:pgSz w:w="11906" w:h="16838"/>
          <w:pgMar w:left="1134" w:right="1134" w:gutter="0" w:header="0" w:top="1134" w:footer="0" w:bottom="1134"/>
          <w:formProt w:val="false"/>
          <w:textDirection w:val="lrTb"/>
        </w:sectPr>
      </w:pPr>
    </w:p>
    <w:p>
      <w:pPr>
        <w:pStyle w:val="BodyText"/>
        <w:bidi w:val="0"/>
        <w:jc w:val="left"/>
        <w:rPr/>
      </w:pPr>
      <w:r>
        <w:rPr/>
        <w:t>​</w:t>
      </w:r>
    </w:p>
    <w:p>
      <w:pPr>
        <w:pStyle w:val="Heading2"/>
        <w:bidi w:val="0"/>
        <w:ind w:hanging="0" w:left="0" w:right="0"/>
        <w:jc w:val="left"/>
        <w:rPr/>
      </w:pPr>
      <w:bookmarkStart w:id="0" w:name="core-idea"/>
      <w:bookmarkEnd w:id="0"/>
      <w:r>
        <w:rPr/>
        <w:t>Core idea</w:t>
      </w:r>
    </w:p>
    <w:p>
      <w:pPr>
        <w:pStyle w:val="BodyText"/>
        <w:bidi w:val="0"/>
        <w:jc w:val="left"/>
        <w:rPr/>
      </w:pPr>
      <w:r>
        <w:rPr/>
        <w:t>ANP already models interdependent criteria and alternatives via a network and a supermatrix; the cybernetic model wraps this with feedback loops resembling a control system, where outputs (priorities, inconsistencies, scenario results) are monitored and then fed back to adjust inputs (pairwise comparisons, network structure, or data collection strategy). In practice, this turns ANP from a one</w:t>
        <w:noBreakHyphen/>
        <w:t>shot calculation into an iterative “sense–decide–act–learn” cycle, especially useful when survey data are noisy or stakeholders need several rounds to converge.</w:t>
      </w:r>
    </w:p>
    <w:p>
      <w:pPr>
        <w:pStyle w:val="BodyText"/>
        <w:bidi w:val="0"/>
        <w:jc w:val="left"/>
        <w:rPr/>
      </w:pPr>
      <w:r>
        <w:rPr/>
        <w:t>​</w:t>
      </w:r>
    </w:p>
    <w:p>
      <w:pPr>
        <w:pStyle w:val="Heading2"/>
        <w:bidi w:val="0"/>
        <w:ind w:hanging="0" w:left="0" w:right="0"/>
        <w:jc w:val="left"/>
        <w:rPr/>
      </w:pPr>
      <w:bookmarkStart w:id="1" w:name="cybernetic-structure"/>
      <w:bookmarkEnd w:id="1"/>
      <w:r>
        <w:rPr/>
        <w:t>Cybernetic structure</w:t>
      </w:r>
    </w:p>
    <w:p>
      <w:pPr>
        <w:pStyle w:val="BodyText"/>
        <w:bidi w:val="0"/>
        <w:jc w:val="left"/>
        <w:rPr/>
      </w:pPr>
      <w:r>
        <w:rPr/>
        <w:t>In the cybernetic ANP formulations, the decision process is divided into subsystems such as: goal and control criteria (what the system is trying to achieve), information acquisition (questionnaires, expert panels), ANP modelling and computation (network, supermatrix, BOCR, ranking), performance monitoring (consistency ratios, sensitivity analysis, robustness checks), and corrective action (re</w:t>
        <w:noBreakHyphen/>
        <w:t>design of questions, re</w:t>
        <w:noBreakHyphen/>
        <w:t>weighting criteria, or modifying the network). These subsystems are connected by feedback loops so that poor consistency, unstable rankings, or stakeholder disagreement automatically trigger revisions instead of being accepted as final results.</w:t>
      </w:r>
    </w:p>
    <w:p>
      <w:pPr>
        <w:pStyle w:val="BodyText"/>
        <w:bidi w:val="0"/>
        <w:jc w:val="left"/>
        <w:rPr/>
      </w:pPr>
      <w:r>
        <w:rPr/>
        <w:t>​</w:t>
      </w:r>
    </w:p>
    <w:p>
      <w:pPr>
        <w:pStyle w:val="Heading2"/>
        <w:bidi w:val="0"/>
        <w:ind w:hanging="0" w:left="0" w:right="0"/>
        <w:jc w:val="left"/>
        <w:rPr/>
      </w:pPr>
      <w:bookmarkStart w:id="2" w:name="typical-applications"/>
      <w:bookmarkEnd w:id="2"/>
      <w:r>
        <w:rPr/>
        <w:t>Typical applications</w:t>
      </w:r>
    </w:p>
    <w:p>
      <w:pPr>
        <w:pStyle w:val="BodyText"/>
        <w:bidi w:val="0"/>
        <w:jc w:val="left"/>
        <w:rPr/>
      </w:pPr>
      <w:r>
        <w:rPr/>
        <w:t>Cybernetic ANP ideas have been used where data collection is difficult or iterative negotiation is essential, for example: improving questionnaire</w:t>
        <w:noBreakHyphen/>
        <w:t>based ANP surveys in infrastructure and construction risk assessment, integrating Quality Function Deployment (QFD) with a “cybernetic ANP” loop for product development, and developing fuzzy cybernetic ANP models for identifying shared risks in public–private partnership (PPP) projects. In these applications, the model formalizes repeating cycles of: collect judgments → run ANP → analyze stability and consistency → adjust questions, structure, or weights → re</w:t>
        <w:noBreakHyphen/>
        <w:t>collect and re</w:t>
        <w:noBreakHyphen/>
        <w:t>compute until convergence.</w:t>
      </w:r>
    </w:p>
    <w:p>
      <w:pPr>
        <w:pStyle w:val="BodyText"/>
        <w:bidi w:val="0"/>
        <w:jc w:val="left"/>
        <w:rPr/>
      </w:pPr>
      <w:r>
        <w:rPr/>
        <w:t>​</w:t>
      </w:r>
    </w:p>
    <w:p>
      <w:pPr>
        <w:pStyle w:val="Heading2"/>
        <w:bidi w:val="0"/>
        <w:ind w:hanging="0" w:left="0" w:right="0"/>
        <w:jc w:val="left"/>
        <w:rPr/>
      </w:pPr>
      <w:bookmarkStart w:id="3" w:name="key-features-vs-standard-anp"/>
      <w:bookmarkEnd w:id="3"/>
      <w:r>
        <w:rPr/>
        <w:t>Key features vs. standard ANP</w:t>
      </w:r>
    </w:p>
    <w:tbl>
      <w:tblPr>
        <w:tblW w:w="9638" w:type="dxa"/>
        <w:jc w:val="left"/>
        <w:tblInd w:w="0" w:type="dxa"/>
        <w:tblLayout w:type="fixed"/>
        <w:tblCellMar>
          <w:top w:w="28" w:type="dxa"/>
          <w:left w:w="28" w:type="dxa"/>
          <w:bottom w:w="28" w:type="dxa"/>
          <w:right w:w="28" w:type="dxa"/>
        </w:tblCellMar>
      </w:tblPr>
      <w:tblGrid>
        <w:gridCol w:w="1352"/>
        <w:gridCol w:w="5513"/>
        <w:gridCol w:w="2773"/>
      </w:tblGrid>
      <w:tr>
        <w:trPr>
          <w:tblHeader w:val="true"/>
        </w:trPr>
        <w:tc>
          <w:tcPr>
            <w:tcW w:w="1352" w:type="dxa"/>
            <w:tcBorders/>
            <w:vAlign w:val="center"/>
          </w:tcPr>
          <w:p>
            <w:pPr>
              <w:pStyle w:val="TableHeading"/>
              <w:suppressLineNumbers/>
              <w:bidi w:val="0"/>
              <w:jc w:val="center"/>
              <w:rPr/>
            </w:pPr>
            <w:r>
              <w:rPr/>
              <w:t>Aspect</w:t>
            </w:r>
          </w:p>
        </w:tc>
        <w:tc>
          <w:tcPr>
            <w:tcW w:w="5513" w:type="dxa"/>
            <w:tcBorders/>
            <w:vAlign w:val="center"/>
          </w:tcPr>
          <w:p>
            <w:pPr>
              <w:pStyle w:val="TableHeading"/>
              <w:suppressLineNumbers/>
              <w:bidi w:val="0"/>
              <w:jc w:val="center"/>
              <w:rPr/>
            </w:pPr>
            <w:r>
              <w:rPr/>
              <w:t>Standard ANP</w:t>
            </w:r>
          </w:p>
        </w:tc>
        <w:tc>
          <w:tcPr>
            <w:tcW w:w="2773" w:type="dxa"/>
            <w:tcBorders/>
            <w:vAlign w:val="center"/>
          </w:tcPr>
          <w:p>
            <w:pPr>
              <w:pStyle w:val="TableHeading"/>
              <w:suppressLineNumbers/>
              <w:bidi w:val="0"/>
              <w:jc w:val="center"/>
              <w:rPr/>
            </w:pPr>
            <w:r>
              <w:rPr/>
              <w:t>Cybernetic ANP extension</w:t>
            </w:r>
          </w:p>
        </w:tc>
      </w:tr>
      <w:tr>
        <w:trPr/>
        <w:tc>
          <w:tcPr>
            <w:tcW w:w="1352" w:type="dxa"/>
            <w:tcBorders/>
            <w:vAlign w:val="center"/>
          </w:tcPr>
          <w:p>
            <w:pPr>
              <w:pStyle w:val="TableContents"/>
              <w:widowControl w:val="false"/>
              <w:suppressLineNumbers/>
              <w:bidi w:val="0"/>
              <w:jc w:val="left"/>
              <w:rPr/>
            </w:pPr>
            <w:r>
              <w:rPr/>
              <w:t>Process view</w:t>
            </w:r>
          </w:p>
        </w:tc>
        <w:tc>
          <w:tcPr>
            <w:tcW w:w="5513" w:type="dxa"/>
            <w:tcBorders/>
            <w:vAlign w:val="center"/>
          </w:tcPr>
          <w:p>
            <w:pPr>
              <w:pStyle w:val="TableContents"/>
              <w:widowControl w:val="false"/>
              <w:suppressLineNumbers/>
              <w:bidi w:val="0"/>
              <w:jc w:val="left"/>
              <w:rPr/>
            </w:pPr>
            <w:r>
              <w:rPr/>
              <w:t>One</w:t>
              <w:noBreakHyphen/>
              <w:t>off modelling and computation of a decision network.</w:t>
            </w:r>
          </w:p>
        </w:tc>
        <w:tc>
          <w:tcPr>
            <w:tcW w:w="2773" w:type="dxa"/>
            <w:tcBorders/>
          </w:tcPr>
          <w:p>
            <w:pPr>
              <w:pStyle w:val="TableContents"/>
              <w:bidi w:val="0"/>
              <w:jc w:val="left"/>
              <w:rPr>
                <w:sz w:val="4"/>
                <w:szCs w:val="4"/>
              </w:rPr>
            </w:pPr>
            <w:r>
              <w:rPr>
                <w:sz w:val="4"/>
                <w:szCs w:val="4"/>
              </w:rPr>
            </w:r>
          </w:p>
        </w:tc>
      </w:tr>
    </w:tbl>
    <w:tbl>
      <w:tblPr>
        <w:tblW w:w="6441" w:type="dxa"/>
        <w:jc w:val="left"/>
        <w:tblInd w:w="0" w:type="dxa"/>
        <w:tblLayout w:type="fixed"/>
        <w:tblCellMar>
          <w:top w:w="28" w:type="dxa"/>
          <w:left w:w="28" w:type="dxa"/>
          <w:bottom w:w="28" w:type="dxa"/>
          <w:right w:w="28" w:type="dxa"/>
        </w:tblCellMar>
      </w:tblPr>
      <w:tblGrid>
        <w:gridCol w:w="124"/>
        <w:gridCol w:w="6317"/>
      </w:tblGrid>
      <w:tr>
        <w:trPr/>
        <w:tc>
          <w:tcPr>
            <w:tcW w:w="124" w:type="dxa"/>
            <w:tcBorders/>
            <w:vAlign w:val="center"/>
          </w:tcPr>
          <w:p>
            <w:pPr>
              <w:pStyle w:val="TableContents"/>
              <w:widowControl w:val="false"/>
              <w:suppressLineNumbers/>
              <w:bidi w:val="0"/>
              <w:jc w:val="left"/>
              <w:rPr/>
            </w:pPr>
            <w:r>
              <w:rPr/>
              <w:t>​</w:t>
            </w:r>
          </w:p>
        </w:tc>
        <w:tc>
          <w:tcPr>
            <w:tcW w:w="6317" w:type="dxa"/>
            <w:tcBorders/>
            <w:vAlign w:val="center"/>
          </w:tcPr>
          <w:p>
            <w:pPr>
              <w:pStyle w:val="TableContents"/>
              <w:widowControl w:val="false"/>
              <w:suppressLineNumbers/>
              <w:bidi w:val="0"/>
              <w:jc w:val="left"/>
              <w:rPr/>
            </w:pPr>
            <w:r>
              <w:rPr/>
              <w:t>Explicit iterative control loop over modelling, data, and outputs.</w:t>
            </w:r>
          </w:p>
        </w:tc>
      </w:tr>
    </w:tbl>
    <w:tbl>
      <w:tblPr>
        <w:tblW w:w="7242" w:type="dxa"/>
        <w:jc w:val="left"/>
        <w:tblInd w:w="0" w:type="dxa"/>
        <w:tblLayout w:type="fixed"/>
        <w:tblCellMar>
          <w:top w:w="28" w:type="dxa"/>
          <w:left w:w="28" w:type="dxa"/>
          <w:bottom w:w="28" w:type="dxa"/>
          <w:right w:w="28" w:type="dxa"/>
        </w:tblCellMar>
      </w:tblPr>
      <w:tblGrid>
        <w:gridCol w:w="1760"/>
        <w:gridCol w:w="5482"/>
      </w:tblGrid>
      <w:tr>
        <w:trPr/>
        <w:tc>
          <w:tcPr>
            <w:tcW w:w="1760" w:type="dxa"/>
            <w:tcBorders/>
            <w:vAlign w:val="center"/>
          </w:tcPr>
          <w:p>
            <w:pPr>
              <w:pStyle w:val="TableContents"/>
              <w:widowControl w:val="false"/>
              <w:suppressLineNumbers/>
              <w:bidi w:val="0"/>
              <w:jc w:val="left"/>
              <w:rPr/>
            </w:pPr>
            <w:r>
              <w:rPr/>
              <w:t>​</w:t>
            </w:r>
          </w:p>
        </w:tc>
        <w:tc>
          <w:tcPr>
            <w:tcW w:w="5482" w:type="dxa"/>
            <w:tcBorders/>
          </w:tcPr>
          <w:p>
            <w:pPr>
              <w:pStyle w:val="TableContents"/>
              <w:bidi w:val="0"/>
              <w:jc w:val="left"/>
              <w:rPr>
                <w:sz w:val="4"/>
                <w:szCs w:val="4"/>
              </w:rPr>
            </w:pPr>
            <w:r>
              <w:rPr>
                <w:sz w:val="4"/>
                <w:szCs w:val="4"/>
              </w:rPr>
            </w:r>
          </w:p>
        </w:tc>
      </w:tr>
      <w:tr>
        <w:trPr/>
        <w:tc>
          <w:tcPr>
            <w:tcW w:w="1760" w:type="dxa"/>
            <w:tcBorders/>
            <w:vAlign w:val="center"/>
          </w:tcPr>
          <w:p>
            <w:pPr>
              <w:pStyle w:val="TableContents"/>
              <w:widowControl w:val="false"/>
              <w:suppressLineNumbers/>
              <w:bidi w:val="0"/>
              <w:jc w:val="left"/>
              <w:rPr/>
            </w:pPr>
            <w:r>
              <w:rPr/>
              <w:t>Role of feedback</w:t>
            </w:r>
          </w:p>
        </w:tc>
        <w:tc>
          <w:tcPr>
            <w:tcW w:w="5482" w:type="dxa"/>
            <w:tcBorders/>
            <w:vAlign w:val="center"/>
          </w:tcPr>
          <w:p>
            <w:pPr>
              <w:pStyle w:val="TableContents"/>
              <w:widowControl w:val="false"/>
              <w:suppressLineNumbers/>
              <w:bidi w:val="0"/>
              <w:jc w:val="left"/>
              <w:rPr/>
            </w:pPr>
            <w:r>
              <w:rPr/>
              <w:t>Feedback captured mainly as network interdependence.</w:t>
            </w:r>
          </w:p>
        </w:tc>
      </w:tr>
    </w:tbl>
    <w:tbl>
      <w:tblPr>
        <w:tblW w:w="7359" w:type="dxa"/>
        <w:jc w:val="left"/>
        <w:tblInd w:w="0" w:type="dxa"/>
        <w:tblLayout w:type="fixed"/>
        <w:tblCellMar>
          <w:top w:w="28" w:type="dxa"/>
          <w:left w:w="28" w:type="dxa"/>
          <w:bottom w:w="28" w:type="dxa"/>
          <w:right w:w="28" w:type="dxa"/>
        </w:tblCellMar>
      </w:tblPr>
      <w:tblGrid>
        <w:gridCol w:w="124"/>
        <w:gridCol w:w="7235"/>
      </w:tblGrid>
      <w:tr>
        <w:trPr/>
        <w:tc>
          <w:tcPr>
            <w:tcW w:w="124" w:type="dxa"/>
            <w:tcBorders/>
            <w:vAlign w:val="center"/>
          </w:tcPr>
          <w:p>
            <w:pPr>
              <w:pStyle w:val="TableContents"/>
              <w:widowControl w:val="false"/>
              <w:suppressLineNumbers/>
              <w:bidi w:val="0"/>
              <w:jc w:val="left"/>
              <w:rPr/>
            </w:pPr>
            <w:r>
              <w:rPr/>
              <w:t>​</w:t>
            </w:r>
          </w:p>
        </w:tc>
        <w:tc>
          <w:tcPr>
            <w:tcW w:w="7235" w:type="dxa"/>
            <w:tcBorders/>
            <w:vAlign w:val="center"/>
          </w:tcPr>
          <w:p>
            <w:pPr>
              <w:pStyle w:val="TableContents"/>
              <w:widowControl w:val="false"/>
              <w:suppressLineNumbers/>
              <w:bidi w:val="0"/>
              <w:jc w:val="left"/>
              <w:rPr/>
            </w:pPr>
            <w:r>
              <w:rPr/>
              <w:t>Both network feedback and procedural feedback (monitor–correct–learn).</w:t>
            </w:r>
          </w:p>
        </w:tc>
      </w:tr>
    </w:tbl>
    <w:tbl>
      <w:tblPr>
        <w:tblW w:w="6351" w:type="dxa"/>
        <w:jc w:val="left"/>
        <w:tblInd w:w="0" w:type="dxa"/>
        <w:tblLayout w:type="fixed"/>
        <w:tblCellMar>
          <w:top w:w="28" w:type="dxa"/>
          <w:left w:w="28" w:type="dxa"/>
          <w:bottom w:w="28" w:type="dxa"/>
          <w:right w:w="28" w:type="dxa"/>
        </w:tblCellMar>
      </w:tblPr>
      <w:tblGrid>
        <w:gridCol w:w="1580"/>
        <w:gridCol w:w="4771"/>
      </w:tblGrid>
      <w:tr>
        <w:trPr/>
        <w:tc>
          <w:tcPr>
            <w:tcW w:w="1580" w:type="dxa"/>
            <w:tcBorders/>
            <w:vAlign w:val="center"/>
          </w:tcPr>
          <w:p>
            <w:pPr>
              <w:pStyle w:val="TableContents"/>
              <w:widowControl w:val="false"/>
              <w:suppressLineNumbers/>
              <w:bidi w:val="0"/>
              <w:jc w:val="left"/>
              <w:rPr/>
            </w:pPr>
            <w:r>
              <w:rPr/>
              <w:t>​</w:t>
            </w:r>
          </w:p>
        </w:tc>
        <w:tc>
          <w:tcPr>
            <w:tcW w:w="4771" w:type="dxa"/>
            <w:tcBorders/>
          </w:tcPr>
          <w:p>
            <w:pPr>
              <w:pStyle w:val="TableContents"/>
              <w:bidi w:val="0"/>
              <w:jc w:val="left"/>
              <w:rPr>
                <w:sz w:val="4"/>
                <w:szCs w:val="4"/>
              </w:rPr>
            </w:pPr>
            <w:r>
              <w:rPr>
                <w:sz w:val="4"/>
                <w:szCs w:val="4"/>
              </w:rPr>
            </w:r>
          </w:p>
        </w:tc>
      </w:tr>
      <w:tr>
        <w:trPr/>
        <w:tc>
          <w:tcPr>
            <w:tcW w:w="1580" w:type="dxa"/>
            <w:tcBorders/>
            <w:vAlign w:val="center"/>
          </w:tcPr>
          <w:p>
            <w:pPr>
              <w:pStyle w:val="TableContents"/>
              <w:widowControl w:val="false"/>
              <w:suppressLineNumbers/>
              <w:bidi w:val="0"/>
              <w:jc w:val="left"/>
              <w:rPr/>
            </w:pPr>
            <w:r>
              <w:rPr/>
              <w:t>Data collection</w:t>
            </w:r>
          </w:p>
        </w:tc>
        <w:tc>
          <w:tcPr>
            <w:tcW w:w="4771" w:type="dxa"/>
            <w:tcBorders/>
            <w:vAlign w:val="center"/>
          </w:tcPr>
          <w:p>
            <w:pPr>
              <w:pStyle w:val="TableContents"/>
              <w:widowControl w:val="false"/>
              <w:suppressLineNumbers/>
              <w:bidi w:val="0"/>
              <w:jc w:val="left"/>
              <w:rPr/>
            </w:pPr>
            <w:r>
              <w:rPr/>
              <w:t>Fixed set of pairwise comparisons from experts.</w:t>
            </w:r>
          </w:p>
        </w:tc>
      </w:tr>
    </w:tbl>
    <w:tbl>
      <w:tblPr>
        <w:tblW w:w="6808" w:type="dxa"/>
        <w:jc w:val="left"/>
        <w:tblInd w:w="0" w:type="dxa"/>
        <w:tblLayout w:type="fixed"/>
        <w:tblCellMar>
          <w:top w:w="28" w:type="dxa"/>
          <w:left w:w="28" w:type="dxa"/>
          <w:bottom w:w="28" w:type="dxa"/>
          <w:right w:w="28" w:type="dxa"/>
        </w:tblCellMar>
      </w:tblPr>
      <w:tblGrid>
        <w:gridCol w:w="124"/>
        <w:gridCol w:w="6684"/>
      </w:tblGrid>
      <w:tr>
        <w:trPr/>
        <w:tc>
          <w:tcPr>
            <w:tcW w:w="124" w:type="dxa"/>
            <w:tcBorders/>
            <w:vAlign w:val="center"/>
          </w:tcPr>
          <w:p>
            <w:pPr>
              <w:pStyle w:val="TableContents"/>
              <w:widowControl w:val="false"/>
              <w:suppressLineNumbers/>
              <w:bidi w:val="0"/>
              <w:jc w:val="left"/>
              <w:rPr/>
            </w:pPr>
            <w:r>
              <w:rPr/>
              <w:t>​</w:t>
            </w:r>
          </w:p>
        </w:tc>
        <w:tc>
          <w:tcPr>
            <w:tcW w:w="6684" w:type="dxa"/>
            <w:tcBorders/>
            <w:vAlign w:val="center"/>
          </w:tcPr>
          <w:p>
            <w:pPr>
              <w:pStyle w:val="TableContents"/>
              <w:widowControl w:val="false"/>
              <w:suppressLineNumbers/>
              <w:bidi w:val="0"/>
              <w:jc w:val="left"/>
              <w:rPr/>
            </w:pPr>
            <w:r>
              <w:rPr/>
              <w:t>Responsive survey design that adapts based on quality of responses.</w:t>
            </w:r>
          </w:p>
        </w:tc>
      </w:tr>
    </w:tbl>
    <w:tbl>
      <w:tblPr>
        <w:tblW w:w="6539" w:type="dxa"/>
        <w:jc w:val="left"/>
        <w:tblInd w:w="0" w:type="dxa"/>
        <w:tblLayout w:type="fixed"/>
        <w:tblCellMar>
          <w:top w:w="28" w:type="dxa"/>
          <w:left w:w="28" w:type="dxa"/>
          <w:bottom w:w="28" w:type="dxa"/>
          <w:right w:w="28" w:type="dxa"/>
        </w:tblCellMar>
      </w:tblPr>
      <w:tblGrid>
        <w:gridCol w:w="2114"/>
        <w:gridCol w:w="4425"/>
      </w:tblGrid>
      <w:tr>
        <w:trPr/>
        <w:tc>
          <w:tcPr>
            <w:tcW w:w="2114" w:type="dxa"/>
            <w:tcBorders/>
            <w:vAlign w:val="center"/>
          </w:tcPr>
          <w:p>
            <w:pPr>
              <w:pStyle w:val="TableContents"/>
              <w:widowControl w:val="false"/>
              <w:suppressLineNumbers/>
              <w:bidi w:val="0"/>
              <w:jc w:val="left"/>
              <w:rPr/>
            </w:pPr>
            <w:r>
              <w:rPr/>
              <w:t>​</w:t>
            </w:r>
          </w:p>
        </w:tc>
        <w:tc>
          <w:tcPr>
            <w:tcW w:w="4425" w:type="dxa"/>
            <w:tcBorders/>
          </w:tcPr>
          <w:p>
            <w:pPr>
              <w:pStyle w:val="TableContents"/>
              <w:bidi w:val="0"/>
              <w:jc w:val="left"/>
              <w:rPr>
                <w:sz w:val="4"/>
                <w:szCs w:val="4"/>
              </w:rPr>
            </w:pPr>
            <w:r>
              <w:rPr>
                <w:sz w:val="4"/>
                <w:szCs w:val="4"/>
              </w:rPr>
            </w:r>
          </w:p>
        </w:tc>
      </w:tr>
      <w:tr>
        <w:trPr/>
        <w:tc>
          <w:tcPr>
            <w:tcW w:w="2114" w:type="dxa"/>
            <w:tcBorders/>
            <w:vAlign w:val="center"/>
          </w:tcPr>
          <w:p>
            <w:pPr>
              <w:pStyle w:val="TableContents"/>
              <w:widowControl w:val="false"/>
              <w:suppressLineNumbers/>
              <w:bidi w:val="0"/>
              <w:jc w:val="left"/>
              <w:rPr/>
            </w:pPr>
            <w:r>
              <w:rPr/>
              <w:t>Robustness handling</w:t>
            </w:r>
          </w:p>
        </w:tc>
        <w:tc>
          <w:tcPr>
            <w:tcW w:w="4425" w:type="dxa"/>
            <w:tcBorders/>
            <w:vAlign w:val="center"/>
          </w:tcPr>
          <w:p>
            <w:pPr>
              <w:pStyle w:val="TableContents"/>
              <w:widowControl w:val="false"/>
              <w:suppressLineNumbers/>
              <w:bidi w:val="0"/>
              <w:jc w:val="left"/>
              <w:rPr/>
            </w:pPr>
            <w:r>
              <w:rPr/>
              <w:t>Sensitivity analysis, but often as a final step.</w:t>
            </w:r>
          </w:p>
        </w:tc>
      </w:tr>
    </w:tbl>
    <w:tbl>
      <w:tblPr>
        <w:tblW w:w="6895" w:type="dxa"/>
        <w:jc w:val="left"/>
        <w:tblInd w:w="0" w:type="dxa"/>
        <w:tblLayout w:type="fixed"/>
        <w:tblCellMar>
          <w:top w:w="28" w:type="dxa"/>
          <w:left w:w="28" w:type="dxa"/>
          <w:bottom w:w="28" w:type="dxa"/>
          <w:right w:w="28" w:type="dxa"/>
        </w:tblCellMar>
      </w:tblPr>
      <w:tblGrid>
        <w:gridCol w:w="124"/>
        <w:gridCol w:w="6771"/>
      </w:tblGrid>
      <w:tr>
        <w:trPr/>
        <w:tc>
          <w:tcPr>
            <w:tcW w:w="124" w:type="dxa"/>
            <w:tcBorders/>
            <w:vAlign w:val="center"/>
          </w:tcPr>
          <w:p>
            <w:pPr>
              <w:pStyle w:val="TableContents"/>
              <w:widowControl w:val="false"/>
              <w:suppressLineNumbers/>
              <w:bidi w:val="0"/>
              <w:jc w:val="left"/>
              <w:rPr/>
            </w:pPr>
            <w:r>
              <w:rPr/>
              <w:t>​</w:t>
            </w:r>
          </w:p>
        </w:tc>
        <w:tc>
          <w:tcPr>
            <w:tcW w:w="6771" w:type="dxa"/>
            <w:tcBorders/>
            <w:vAlign w:val="center"/>
          </w:tcPr>
          <w:p>
            <w:pPr>
              <w:pStyle w:val="TableContents"/>
              <w:widowControl w:val="false"/>
              <w:suppressLineNumbers/>
              <w:bidi w:val="0"/>
              <w:jc w:val="left"/>
              <w:rPr/>
            </w:pPr>
            <w:r>
              <w:rPr/>
              <w:t>Sensitivity and performance measures drive new cycles of judgment.</w:t>
            </w:r>
          </w:p>
        </w:tc>
      </w:tr>
    </w:tbl>
    <w:tbl>
      <w:tblPr>
        <w:tblW w:w="169" w:type="dxa"/>
        <w:jc w:val="left"/>
        <w:tblInd w:w="0" w:type="dxa"/>
        <w:tblLayout w:type="fixed"/>
        <w:tblCellMar>
          <w:top w:w="28" w:type="dxa"/>
          <w:left w:w="28" w:type="dxa"/>
          <w:bottom w:w="28" w:type="dxa"/>
          <w:right w:w="28" w:type="dxa"/>
        </w:tblCellMar>
      </w:tblPr>
      <w:tblGrid>
        <w:gridCol w:w="169"/>
      </w:tblGrid>
      <w:tr>
        <w:trPr/>
        <w:tc>
          <w:tcPr>
            <w:tcW w:w="169" w:type="dxa"/>
            <w:tcBorders/>
            <w:vAlign w:val="center"/>
          </w:tcPr>
          <w:p>
            <w:pPr>
              <w:pStyle w:val="TableContents"/>
              <w:widowControl w:val="false"/>
              <w:suppressLineNumbers/>
              <w:bidi w:val="0"/>
              <w:jc w:val="left"/>
              <w:rPr/>
            </w:pPr>
            <w:r>
              <w:rPr/>
              <w:t>​</w:t>
            </w:r>
          </w:p>
        </w:tc>
      </w:tr>
    </w:tbl>
    <w:p>
      <w:pPr>
        <w:pStyle w:val="Heading2"/>
        <w:bidi w:val="0"/>
        <w:ind w:hanging="0" w:left="0" w:right="0"/>
        <w:jc w:val="left"/>
        <w:rPr/>
      </w:pPr>
      <w:bookmarkStart w:id="4" w:name="how-to-use-or-study-it"/>
      <w:bookmarkEnd w:id="4"/>
      <w:r>
        <w:rPr/>
        <w:t>How to use or study it</w:t>
      </w:r>
    </w:p>
    <w:p>
      <w:pPr>
        <w:pStyle w:val="BodyText"/>
        <w:bidi w:val="0"/>
        <w:jc w:val="left"/>
        <w:rPr/>
      </w:pPr>
      <w:r>
        <w:rPr/>
        <w:t>To work with this concept in practice, one typically: learns standard ANP (network design, supermatrix, BOCR), designs a cybernetic loop specifying what indicators will trigger revisions (e.g., consistency thresholds, rank reversals), implements the loop in software or via structured workshops, and applies it to a domain such as risks, supplier selection, or design priorities where stakeholder learning over time is important. For in</w:t>
        <w:noBreakHyphen/>
        <w:t>depth details and examples, the publications by Zhen Chen and later works on hybrid “cybernetic analytic network process” or “fuzzy cybernetic ANP” give the clearest technical formulations.</w:t>
      </w:r>
    </w:p>
    <w:p>
      <w:pPr>
        <w:sectPr>
          <w:type w:val="continuous"/>
          <w:pgSz w:w="11906" w:h="16838"/>
          <w:pgMar w:left="1134" w:right="1134" w:gutter="0" w:header="0" w:top="1134" w:footer="0" w:bottom="1134"/>
          <w:pgNumType w:fmt="decimal"/>
          <w:formProt w:val="false"/>
          <w:textDirection w:val="lrTb"/>
        </w:sectPr>
      </w:pPr>
    </w:p>
    <w:p>
      <w:pPr>
        <w:pStyle w:val="BodyText"/>
        <w:bidi w:val="0"/>
        <w:ind w:hanging="0" w:left="0" w:right="0"/>
        <w:jc w:val="left"/>
        <w:rPr/>
      </w:pPr>
      <w:bookmarkStart w:id="5" w:name="markdown-content-0"/>
      <w:bookmarkEnd w:id="5"/>
      <w:r>
        <w:rPr/>
        <w:t>​</w:t>
      </w:r>
    </w:p>
    <w:p>
      <w:pPr>
        <w:sectPr>
          <w:type w:val="continuous"/>
          <w:pgSz w:w="11906" w:h="16838"/>
          <w:pgMar w:left="1134" w:right="1134" w:gutter="0" w:header="0" w:top="1134" w:footer="0" w:bottom="1134"/>
          <w:formProt w:val="false"/>
          <w:textDirection w:val="lrTb"/>
        </w:sectPr>
      </w:pPr>
    </w:p>
    <w:p>
      <w:pPr>
        <w:pStyle w:val="BodyText"/>
        <w:bidi w:val="0"/>
        <w:spacing w:before="0" w:after="0"/>
        <w:ind w:hanging="0" w:left="0" w:right="0"/>
        <w:jc w:val="left"/>
        <w:rPr/>
      </w:pPr>
      <w:r>
        <w:rPr/>
        <w:t>Summarize the main contributions of the cybernetic ANP paper</w:t>
      </w:r>
    </w:p>
    <w:p>
      <w:pPr>
        <w:sectPr>
          <w:type w:val="continuous"/>
          <w:pgSz w:w="11906" w:h="16838"/>
          <w:pgMar w:left="1134" w:right="1134" w:gutter="0" w:header="0" w:top="1134" w:footer="0" w:bottom="1134"/>
          <w:pgNumType w:fmt="decimal"/>
          <w:formProt w:val="false"/>
          <w:textDirection w:val="lrTb"/>
        </w:sectPr>
      </w:pPr>
    </w:p>
    <w:p>
      <w:pPr>
        <w:pStyle w:val="BodyText"/>
        <w:bidi w:val="0"/>
        <w:ind w:hanging="0" w:left="0" w:right="0"/>
        <w:jc w:val="left"/>
        <w:rPr/>
      </w:pPr>
      <w:r>
        <w:rPr/>
        <w:t>The main contributions of the “cybernetic ANP” paper (often titled “A cybernetic model for analytic network process”) can be grouped into four points.</w:t>
      </w:r>
    </w:p>
    <w:p>
      <w:pPr>
        <w:pStyle w:val="Heading2"/>
        <w:bidi w:val="0"/>
        <w:ind w:hanging="0" w:left="0" w:right="0"/>
        <w:jc w:val="left"/>
        <w:rPr/>
      </w:pPr>
      <w:bookmarkStart w:id="6" w:name="1-cybernetic-framework-around-anp"/>
      <w:bookmarkEnd w:id="6"/>
      <w:r>
        <w:rPr/>
        <w:t>1. Cybernetic framework around ANP</w:t>
      </w:r>
    </w:p>
    <w:p>
      <w:pPr>
        <w:pStyle w:val="BodyText"/>
        <w:bidi w:val="0"/>
        <w:jc w:val="left"/>
        <w:rPr/>
      </w:pPr>
      <w:r>
        <w:rPr/>
        <w:t>The paper introduces a generic cybernetic (feedback</w:t>
        <w:noBreakHyphen/>
        <w:t>control) framework that wraps the traditional Analytic Network Process, explicitly modeling the decision process as interconnected subsystems: goal setting, data collection, ANP modeling, performance monitoring, and corrective action. This reframes ANP as an iterative control system rather than a single</w:t>
        <w:noBreakHyphen/>
        <w:t>pass computation, so that outputs such as inconsistency or unstable rankings trigger structured feedback and revision of inputs.</w:t>
      </w:r>
    </w:p>
    <w:p>
      <w:pPr>
        <w:pStyle w:val="Heading2"/>
        <w:bidi w:val="0"/>
        <w:ind w:hanging="0" w:left="0" w:right="0"/>
        <w:jc w:val="left"/>
        <w:rPr/>
      </w:pPr>
      <w:bookmarkStart w:id="7" w:name="2-focus-on-the-data-collection-bottlenec"/>
      <w:bookmarkEnd w:id="7"/>
      <w:r>
        <w:rPr/>
        <w:t>2. Focus on the data collection bottleneck</w:t>
      </w:r>
    </w:p>
    <w:p>
      <w:pPr>
        <w:pStyle w:val="BodyText"/>
        <w:bidi w:val="0"/>
        <w:jc w:val="left"/>
        <w:rPr/>
      </w:pPr>
      <w:r>
        <w:rPr/>
        <w:t>A central problem the paper addresses is the “bottleneck” in ANP applications caused by very large numbers of pairwise comparisons in complex networks, which makes questionnaire surveys time</w:t>
        <w:noBreakHyphen/>
        <w:t>consuming, error</w:t>
        <w:noBreakHyphen/>
        <w:t>prone, and often impractical in real projects. The cybernetic view is used to formalize this bottleneck as a controllable process element, motivating methods that reduce respondent workload while maintaining decision quality.</w:t>
      </w:r>
    </w:p>
    <w:p>
      <w:pPr>
        <w:pStyle w:val="Heading2"/>
        <w:bidi w:val="0"/>
        <w:ind w:hanging="0" w:left="0" w:right="0"/>
        <w:jc w:val="left"/>
        <w:rPr/>
      </w:pPr>
      <w:bookmarkStart w:id="8" w:name="3-the-pairwiser-questionnaire-design-met"/>
      <w:bookmarkEnd w:id="8"/>
      <w:r>
        <w:rPr/>
        <w:t>3. The Pair</w:t>
        <w:noBreakHyphen/>
        <w:t>Wiser questionnaire design method</w:t>
      </w:r>
    </w:p>
    <w:p>
      <w:pPr>
        <w:pStyle w:val="BodyText"/>
        <w:bidi w:val="0"/>
        <w:jc w:val="left"/>
        <w:rPr/>
      </w:pPr>
      <w:r>
        <w:rPr/>
        <w:t>Within this framework, the paper proposes a new questionnaire formatting and data</w:t>
        <w:noBreakHyphen/>
        <w:t>collection approach called “Pair</w:t>
        <w:noBreakHyphen/>
        <w:t>Wiser.” Pair</w:t>
        <w:noBreakHyphen/>
        <w:t>Wiser is designed to:</w:t>
      </w:r>
    </w:p>
    <w:p>
      <w:pPr>
        <w:pStyle w:val="BodyText"/>
        <w:numPr>
          <w:ilvl w:val="0"/>
          <w:numId w:val="1"/>
        </w:numPr>
        <w:tabs>
          <w:tab w:val="clear" w:pos="709"/>
          <w:tab w:val="left" w:pos="709" w:leader="none"/>
        </w:tabs>
        <w:bidi w:val="0"/>
        <w:ind w:hanging="283" w:left="709"/>
        <w:jc w:val="left"/>
        <w:rPr/>
      </w:pPr>
      <w:r>
        <w:rPr/>
        <w:t>Minimize the number of pairwise questions each respondent must answer (lean questionnaire design).</w:t>
      </w:r>
    </w:p>
    <w:p>
      <w:pPr>
        <w:pStyle w:val="BodyText"/>
        <w:numPr>
          <w:ilvl w:val="0"/>
          <w:numId w:val="1"/>
        </w:numPr>
        <w:tabs>
          <w:tab w:val="clear" w:pos="709"/>
          <w:tab w:val="left" w:pos="709" w:leader="none"/>
        </w:tabs>
        <w:bidi w:val="0"/>
        <w:ind w:hanging="283" w:left="709"/>
        <w:jc w:val="left"/>
        <w:rPr/>
      </w:pPr>
      <w:r>
        <w:rPr/>
        <w:t>Structure questions so that missing comparisons can be inferred or efficiently derived from a smaller core set.</w:t>
        <w:br/>
        <w:t>The contribution is both conceptual (design principles for lean ANP questionnaires) and practical (a concrete formatting method that can be embedded in surveys or software).</w:t>
      </w:r>
    </w:p>
    <w:p>
      <w:pPr>
        <w:pStyle w:val="Heading2"/>
        <w:bidi w:val="0"/>
        <w:ind w:hanging="0" w:left="0" w:right="0"/>
        <w:jc w:val="left"/>
        <w:rPr/>
      </w:pPr>
      <w:bookmarkStart w:id="9" w:name="4-demonstration-via-a-real-case-study"/>
      <w:bookmarkEnd w:id="9"/>
      <w:r>
        <w:rPr/>
        <w:t>4. Demonstration via a real case study</w:t>
      </w:r>
    </w:p>
    <w:p>
      <w:pPr>
        <w:pStyle w:val="BodyText"/>
        <w:bidi w:val="0"/>
        <w:jc w:val="left"/>
        <w:rPr/>
      </w:pPr>
      <w:r>
        <w:rPr/>
        <w:t>The paper applies the cybernetic ANP framework and the Pair</w:t>
        <w:noBreakHyphen/>
        <w:t>Wiser method to a non</w:t>
        <w:noBreakHyphen/>
        <w:t>trivial case study in complex decision making (e.g., an engineering or project</w:t>
        <w:noBreakHyphen/>
        <w:t>management context), showing that:</w:t>
      </w:r>
    </w:p>
    <w:p>
      <w:pPr>
        <w:pStyle w:val="BodyText"/>
        <w:numPr>
          <w:ilvl w:val="0"/>
          <w:numId w:val="2"/>
        </w:numPr>
        <w:tabs>
          <w:tab w:val="clear" w:pos="709"/>
          <w:tab w:val="left" w:pos="709" w:leader="none"/>
        </w:tabs>
        <w:bidi w:val="0"/>
        <w:ind w:hanging="283" w:left="709"/>
        <w:jc w:val="left"/>
        <w:rPr/>
      </w:pPr>
      <w:r>
        <w:rPr/>
        <w:t>Respondent workload is significantly reduced compared with a full ANP comparison set.</w:t>
      </w:r>
    </w:p>
    <w:p>
      <w:pPr>
        <w:pStyle w:val="BodyText"/>
        <w:numPr>
          <w:ilvl w:val="0"/>
          <w:numId w:val="2"/>
        </w:numPr>
        <w:tabs>
          <w:tab w:val="clear" w:pos="709"/>
          <w:tab w:val="left" w:pos="709" w:leader="none"/>
        </w:tabs>
        <w:bidi w:val="0"/>
        <w:ind w:hanging="283" w:left="709"/>
        <w:jc w:val="left"/>
        <w:rPr/>
      </w:pPr>
      <w:r>
        <w:rPr/>
        <w:t>The resulting priorities and rankings are stable and usable for real project decisions.</w:t>
        <w:br/>
        <w:t>This empirical demonstration is positioned as evidence that the cybernetic model and Pair</w:t>
        <w:noBreakHyphen/>
        <w:t>Wiser can make ANP more adoptable in real</w:t>
        <w:noBreakHyphen/>
        <w:t>world projects, especially where large questionnaires were previously a barrier.</w:t>
      </w:r>
    </w:p>
    <w:p>
      <w:pPr>
        <w:sectPr>
          <w:type w:val="continuous"/>
          <w:pgSz w:w="11906" w:h="16838"/>
          <w:pgMar w:left="1134" w:right="1134" w:gutter="0" w:header="0" w:top="1134" w:footer="0" w:bottom="1134"/>
          <w:formProt w:val="false"/>
          <w:textDirection w:val="lrTb"/>
        </w:sectPr>
      </w:pPr>
    </w:p>
    <w:p>
      <w:pPr>
        <w:pStyle w:val="BodyText"/>
        <w:bidi w:val="0"/>
        <w:spacing w:before="0" w:after="0"/>
        <w:ind w:hanging="0" w:left="0" w:right="0"/>
        <w:jc w:val="left"/>
        <w:rPr/>
      </w:pPr>
      <w:r>
        <w:rPr/>
        <w:t>Detail the cybernetic model components and their roles</w:t>
      </w:r>
    </w:p>
    <w:p>
      <w:pPr>
        <w:sectPr>
          <w:type w:val="continuous"/>
          <w:pgSz w:w="11906" w:h="16838"/>
          <w:pgMar w:left="1134" w:right="1134" w:gutter="0" w:header="0" w:top="1134" w:footer="0" w:bottom="1134"/>
          <w:pgNumType w:fmt="decimal"/>
          <w:formProt w:val="false"/>
          <w:textDirection w:val="lrTb"/>
        </w:sectPr>
      </w:pPr>
    </w:p>
    <w:p>
      <w:pPr>
        <w:pStyle w:val="BodyText"/>
        <w:bidi w:val="0"/>
        <w:ind w:hanging="0" w:left="0" w:right="0"/>
        <w:jc w:val="left"/>
        <w:rPr/>
      </w:pPr>
      <w:r>
        <w:rPr/>
        <w:t>The cybernetic ANP model decomposes the ANP</w:t>
        <w:noBreakHyphen/>
        <w:t>based decision process into a set of interacting control</w:t>
        <w:noBreakHyphen/>
        <w:t>system components, each with a clear role in an iterative feedback loop. Below is a concise breakdown of those components and what each does in the overall control cycle.</w:t>
      </w:r>
    </w:p>
    <w:p>
      <w:pPr>
        <w:pStyle w:val="Heading2"/>
        <w:bidi w:val="0"/>
        <w:ind w:hanging="0" w:left="0" w:right="0"/>
        <w:jc w:val="left"/>
        <w:rPr/>
      </w:pPr>
      <w:bookmarkStart w:id="10" w:name="goal-and-environment"/>
      <w:bookmarkEnd w:id="10"/>
      <w:r>
        <w:rPr/>
        <w:t>Goal and environment</w:t>
      </w:r>
    </w:p>
    <w:p>
      <w:pPr>
        <w:pStyle w:val="BodyText"/>
        <w:numPr>
          <w:ilvl w:val="0"/>
          <w:numId w:val="3"/>
        </w:numPr>
        <w:tabs>
          <w:tab w:val="clear" w:pos="709"/>
          <w:tab w:val="left" w:pos="709" w:leader="none"/>
        </w:tabs>
        <w:bidi w:val="0"/>
        <w:ind w:hanging="283" w:left="709"/>
        <w:jc w:val="left"/>
        <w:rPr/>
      </w:pPr>
      <w:r>
        <w:rPr>
          <w:rStyle w:val="Strong"/>
        </w:rPr>
        <w:t>Goal / reference system</w:t>
      </w:r>
      <w:r>
        <w:rPr/>
        <w:t>: Defines the decision objectives, control criteria (e.g., benefits, opportunities, costs, risks), and acceptable performance thresholds; this is the “desired state” against which outcomes are compared in each cycle.</w:t>
      </w:r>
    </w:p>
    <w:p>
      <w:pPr>
        <w:pStyle w:val="BodyText"/>
        <w:numPr>
          <w:ilvl w:val="0"/>
          <w:numId w:val="3"/>
        </w:numPr>
        <w:tabs>
          <w:tab w:val="clear" w:pos="709"/>
          <w:tab w:val="left" w:pos="709" w:leader="none"/>
        </w:tabs>
        <w:bidi w:val="0"/>
        <w:ind w:hanging="283" w:left="709"/>
        <w:jc w:val="left"/>
        <w:rPr/>
      </w:pPr>
      <w:r>
        <w:rPr>
          <w:rStyle w:val="Strong"/>
        </w:rPr>
        <w:t>Environment and disturbances</w:t>
      </w:r>
      <w:r>
        <w:rPr/>
        <w:t>: Represents project context, data uncertainty, stakeholder changes, and external shocks; these act as disturbances that push the decision system away from its desired behavior and motivate re</w:t>
        <w:noBreakHyphen/>
        <w:t>runs of the loop.</w:t>
      </w:r>
    </w:p>
    <w:p>
      <w:pPr>
        <w:pStyle w:val="Heading2"/>
        <w:bidi w:val="0"/>
        <w:ind w:hanging="0" w:left="0" w:right="0"/>
        <w:jc w:val="left"/>
        <w:rPr/>
      </w:pPr>
      <w:bookmarkStart w:id="11" w:name="information-and-judgment-acquisition"/>
      <w:bookmarkEnd w:id="11"/>
      <w:r>
        <w:rPr/>
        <w:t>Information and judgment acquisition</w:t>
      </w:r>
    </w:p>
    <w:p>
      <w:pPr>
        <w:pStyle w:val="BodyText"/>
        <w:numPr>
          <w:ilvl w:val="0"/>
          <w:numId w:val="4"/>
        </w:numPr>
        <w:tabs>
          <w:tab w:val="clear" w:pos="709"/>
          <w:tab w:val="left" w:pos="709" w:leader="none"/>
        </w:tabs>
        <w:bidi w:val="0"/>
        <w:ind w:hanging="283" w:left="709"/>
        <w:jc w:val="left"/>
        <w:rPr/>
      </w:pPr>
      <w:r>
        <w:rPr>
          <w:rStyle w:val="Strong"/>
        </w:rPr>
        <w:t>Stakeholder and expert subsystem</w:t>
      </w:r>
      <w:r>
        <w:rPr/>
        <w:t>: Human decision</w:t>
        <w:noBreakHyphen/>
        <w:t>makers who provide pairwise comparisons and qualitative judgments; they generate the raw information that populates the ANP network.</w:t>
      </w:r>
    </w:p>
    <w:p>
      <w:pPr>
        <w:pStyle w:val="BodyText"/>
        <w:numPr>
          <w:ilvl w:val="0"/>
          <w:numId w:val="4"/>
        </w:numPr>
        <w:tabs>
          <w:tab w:val="clear" w:pos="709"/>
          <w:tab w:val="left" w:pos="709" w:leader="none"/>
        </w:tabs>
        <w:bidi w:val="0"/>
        <w:ind w:hanging="283" w:left="709"/>
        <w:jc w:val="left"/>
        <w:rPr/>
      </w:pPr>
      <w:r>
        <w:rPr>
          <w:rStyle w:val="Strong"/>
        </w:rPr>
        <w:t>Questionnaire / Pair</w:t>
        <w:noBreakHyphen/>
        <w:t>Wiser subsystem</w:t>
      </w:r>
      <w:r>
        <w:rPr/>
        <w:t>: The structured survey and formatting method that organizes and minimizes pairwise comparison tasks, acting as the “sensor interface” that captures observations from experts and feeds them into the model.</w:t>
      </w:r>
    </w:p>
    <w:p>
      <w:pPr>
        <w:pStyle w:val="Heading2"/>
        <w:bidi w:val="0"/>
        <w:ind w:hanging="0" w:left="0" w:right="0"/>
        <w:jc w:val="left"/>
        <w:rPr/>
      </w:pPr>
      <w:bookmarkStart w:id="12" w:name="anp-modeling-and-computation"/>
      <w:bookmarkEnd w:id="12"/>
      <w:r>
        <w:rPr/>
        <w:t>ANP modeling and computation</w:t>
      </w:r>
    </w:p>
    <w:p>
      <w:pPr>
        <w:pStyle w:val="BodyText"/>
        <w:numPr>
          <w:ilvl w:val="0"/>
          <w:numId w:val="5"/>
        </w:numPr>
        <w:tabs>
          <w:tab w:val="clear" w:pos="709"/>
          <w:tab w:val="left" w:pos="709" w:leader="none"/>
        </w:tabs>
        <w:bidi w:val="0"/>
        <w:ind w:hanging="283" w:left="709"/>
        <w:jc w:val="left"/>
        <w:rPr/>
      </w:pPr>
      <w:r>
        <w:rPr>
          <w:rStyle w:val="Strong"/>
        </w:rPr>
        <w:t>Structural modeling subsystem (network builder)</w:t>
      </w:r>
      <w:r>
        <w:rPr/>
        <w:t>: Defines clusters, nodes, and interdependencies for the ANP network, translating the problem domain into a formal model architecture (including BOCR if used).</w:t>
      </w:r>
    </w:p>
    <w:p>
      <w:pPr>
        <w:pStyle w:val="BodyText"/>
        <w:numPr>
          <w:ilvl w:val="0"/>
          <w:numId w:val="5"/>
        </w:numPr>
        <w:tabs>
          <w:tab w:val="clear" w:pos="709"/>
          <w:tab w:val="left" w:pos="709" w:leader="none"/>
        </w:tabs>
        <w:bidi w:val="0"/>
        <w:ind w:hanging="283" w:left="709"/>
        <w:jc w:val="left"/>
        <w:rPr/>
      </w:pPr>
      <w:r>
        <w:rPr>
          <w:rStyle w:val="Strong"/>
        </w:rPr>
        <w:t>Computation subsystem (supermatrix engine)</w:t>
      </w:r>
      <w:r>
        <w:rPr/>
        <w:t>: Aggregates judgments, builds and weights the supermatrix, and computes limiting priorities and rankings; this is the “plant” being controlled and produces the system’s main outputs (priority vectors, alternative rankings).</w:t>
      </w:r>
    </w:p>
    <w:p>
      <w:pPr>
        <w:pStyle w:val="Heading2"/>
        <w:bidi w:val="0"/>
        <w:ind w:hanging="0" w:left="0" w:right="0"/>
        <w:jc w:val="left"/>
        <w:rPr/>
      </w:pPr>
      <w:bookmarkStart w:id="13" w:name="monitoring-and-comparison"/>
      <w:bookmarkEnd w:id="13"/>
      <w:r>
        <w:rPr/>
        <w:t>Monitoring and comparison</w:t>
      </w:r>
    </w:p>
    <w:p>
      <w:pPr>
        <w:pStyle w:val="BodyText"/>
        <w:numPr>
          <w:ilvl w:val="0"/>
          <w:numId w:val="6"/>
        </w:numPr>
        <w:tabs>
          <w:tab w:val="clear" w:pos="709"/>
          <w:tab w:val="left" w:pos="709" w:leader="none"/>
        </w:tabs>
        <w:bidi w:val="0"/>
        <w:ind w:hanging="283" w:left="709"/>
        <w:jc w:val="left"/>
        <w:rPr/>
      </w:pPr>
      <w:r>
        <w:rPr>
          <w:rStyle w:val="Strong"/>
        </w:rPr>
        <w:t>Performance monitoring subsystem</w:t>
      </w:r>
      <w:r>
        <w:rPr/>
        <w:t>: Computes consistency ratios, checks completeness of comparisons, performs basic and scenario</w:t>
        <w:noBreakHyphen/>
        <w:t>based sensitivity analysis, and tracks stability of rankings over iterations.</w:t>
      </w:r>
    </w:p>
    <w:p>
      <w:pPr>
        <w:pStyle w:val="BodyText"/>
        <w:numPr>
          <w:ilvl w:val="0"/>
          <w:numId w:val="6"/>
        </w:numPr>
        <w:tabs>
          <w:tab w:val="clear" w:pos="709"/>
          <w:tab w:val="left" w:pos="709" w:leader="none"/>
        </w:tabs>
        <w:bidi w:val="0"/>
        <w:ind w:hanging="283" w:left="709"/>
        <w:jc w:val="left"/>
        <w:rPr/>
      </w:pPr>
      <w:r>
        <w:rPr>
          <w:rStyle w:val="Strong"/>
        </w:rPr>
        <w:t>Comparator / evaluation subsystem</w:t>
      </w:r>
      <w:r>
        <w:rPr/>
        <w:t>: Compares actual performance (e.g., consistency levels, robustness of rankings, stakeholder satisfaction) against the reference goals and thresholds; it detects deviations that signal the need for corrective action.</w:t>
      </w:r>
    </w:p>
    <w:p>
      <w:pPr>
        <w:pStyle w:val="Heading2"/>
        <w:bidi w:val="0"/>
        <w:ind w:hanging="0" w:left="0" w:right="0"/>
        <w:jc w:val="left"/>
        <w:rPr/>
      </w:pPr>
      <w:bookmarkStart w:id="14" w:name="corrective-and-adaptive-control"/>
      <w:bookmarkEnd w:id="14"/>
      <w:r>
        <w:rPr/>
        <w:t>Corrective and adaptive control</w:t>
      </w:r>
    </w:p>
    <w:p>
      <w:pPr>
        <w:pStyle w:val="BodyText"/>
        <w:numPr>
          <w:ilvl w:val="0"/>
          <w:numId w:val="7"/>
        </w:numPr>
        <w:tabs>
          <w:tab w:val="clear" w:pos="709"/>
          <w:tab w:val="left" w:pos="709" w:leader="none"/>
        </w:tabs>
        <w:bidi w:val="0"/>
        <w:ind w:hanging="283" w:left="709"/>
        <w:jc w:val="left"/>
        <w:rPr/>
      </w:pPr>
      <w:r>
        <w:rPr>
          <w:rStyle w:val="Strong"/>
        </w:rPr>
        <w:t>Corrective action subsystem</w:t>
      </w:r>
      <w:r>
        <w:rPr/>
        <w:t>: Decides how to respond when deviations are detected, for example by:</w:t>
      </w:r>
    </w:p>
    <w:p>
      <w:pPr>
        <w:pStyle w:val="BodyText"/>
        <w:numPr>
          <w:ilvl w:val="1"/>
          <w:numId w:val="7"/>
        </w:numPr>
        <w:tabs>
          <w:tab w:val="clear" w:pos="709"/>
          <w:tab w:val="left" w:pos="1418" w:leader="none"/>
        </w:tabs>
        <w:bidi w:val="0"/>
        <w:ind w:hanging="283" w:left="1418"/>
        <w:jc w:val="left"/>
        <w:rPr/>
      </w:pPr>
      <w:r>
        <w:rPr/>
        <w:t>Redesigning questionnaires (adding, removing, or rephrasing comparisons).</w:t>
      </w:r>
    </w:p>
    <w:p>
      <w:pPr>
        <w:pStyle w:val="BodyText"/>
        <w:numPr>
          <w:ilvl w:val="1"/>
          <w:numId w:val="7"/>
        </w:numPr>
        <w:tabs>
          <w:tab w:val="clear" w:pos="709"/>
          <w:tab w:val="left" w:pos="1418" w:leader="none"/>
        </w:tabs>
        <w:bidi w:val="0"/>
        <w:ind w:hanging="283" w:left="1418"/>
        <w:jc w:val="left"/>
        <w:rPr/>
      </w:pPr>
      <w:r>
        <w:rPr/>
        <w:t>Adjusting the ANP structure (clusters, dependencies, BOCR treatment).</w:t>
      </w:r>
    </w:p>
    <w:p>
      <w:pPr>
        <w:pStyle w:val="BodyText"/>
        <w:numPr>
          <w:ilvl w:val="1"/>
          <w:numId w:val="7"/>
        </w:numPr>
        <w:tabs>
          <w:tab w:val="clear" w:pos="709"/>
          <w:tab w:val="left" w:pos="1418" w:leader="none"/>
        </w:tabs>
        <w:bidi w:val="0"/>
        <w:ind w:hanging="283" w:left="1418"/>
        <w:jc w:val="left"/>
        <w:rPr/>
      </w:pPr>
      <w:r>
        <w:rPr/>
        <w:t>Rebalancing criteria or re</w:t>
        <w:noBreakHyphen/>
        <w:t>segmenting stakeholders.</w:t>
      </w:r>
    </w:p>
    <w:p>
      <w:pPr>
        <w:pStyle w:val="BodyText"/>
        <w:numPr>
          <w:ilvl w:val="0"/>
          <w:numId w:val="7"/>
        </w:numPr>
        <w:tabs>
          <w:tab w:val="clear" w:pos="709"/>
          <w:tab w:val="left" w:pos="709" w:leader="none"/>
        </w:tabs>
        <w:bidi w:val="0"/>
        <w:ind w:hanging="283" w:left="709"/>
        <w:jc w:val="left"/>
        <w:rPr/>
      </w:pPr>
      <w:r>
        <w:rPr>
          <w:rStyle w:val="Strong"/>
        </w:rPr>
        <w:t>Learning and updating subsystem</w:t>
      </w:r>
      <w:r>
        <w:rPr/>
        <w:t>: Captures insights from previous cycles (e.g., which questions caused confusion, which links are non</w:t>
        <w:noBreakHyphen/>
        <w:t>influential) and updates model design rules and survey strategy, so the process becomes more efficient and reliable over time.</w:t>
      </w:r>
    </w:p>
    <w:p>
      <w:pPr>
        <w:pStyle w:val="Heading2"/>
        <w:bidi w:val="0"/>
        <w:ind w:hanging="0" w:left="0" w:right="0"/>
        <w:jc w:val="left"/>
        <w:rPr/>
      </w:pPr>
      <w:bookmarkStart w:id="15" w:name="output-and-implementation"/>
      <w:bookmarkEnd w:id="15"/>
      <w:r>
        <w:rPr/>
        <w:t>Output and implementation</w:t>
      </w:r>
    </w:p>
    <w:p>
      <w:pPr>
        <w:pStyle w:val="BodyText"/>
        <w:numPr>
          <w:ilvl w:val="0"/>
          <w:numId w:val="8"/>
        </w:numPr>
        <w:tabs>
          <w:tab w:val="clear" w:pos="709"/>
          <w:tab w:val="left" w:pos="709" w:leader="none"/>
        </w:tabs>
        <w:bidi w:val="0"/>
        <w:ind w:hanging="283" w:left="709"/>
        <w:jc w:val="left"/>
        <w:rPr/>
      </w:pPr>
      <w:r>
        <w:rPr>
          <w:rStyle w:val="Strong"/>
        </w:rPr>
        <w:t>Decision and implementation subsystem</w:t>
      </w:r>
      <w:r>
        <w:rPr/>
        <w:t>: Uses the final stabilized priorities and rankings to choose alternatives, allocate resources, or set policies, and logs implemented actions and outcomes as new environmental feedback.</w:t>
      </w:r>
    </w:p>
    <w:p>
      <w:pPr>
        <w:pStyle w:val="BodyText"/>
        <w:numPr>
          <w:ilvl w:val="0"/>
          <w:numId w:val="8"/>
        </w:numPr>
        <w:tabs>
          <w:tab w:val="clear" w:pos="709"/>
          <w:tab w:val="left" w:pos="709" w:leader="none"/>
        </w:tabs>
        <w:bidi w:val="0"/>
        <w:ind w:hanging="283" w:left="709"/>
        <w:jc w:val="left"/>
        <w:rPr/>
      </w:pPr>
      <w:r>
        <w:rPr>
          <w:rStyle w:val="Strong"/>
        </w:rPr>
        <w:t>Feedback loop closure</w:t>
      </w:r>
      <w:r>
        <w:rPr/>
        <w:t>: Observed outcomes of implemented decisions (e.g., project performance, risk occurrences, stakeholder responses) are fed back to the monitoring and goal subsystems, potentially prompting new cycles if performance drifts from desired targets.</w:t>
      </w:r>
    </w:p>
    <w:p>
      <w:pPr>
        <w:pStyle w:val="BodyText"/>
        <w:bidi w:val="0"/>
        <w:jc w:val="left"/>
        <w:rPr/>
      </w:pPr>
      <w:r>
        <w:rPr/>
        <w:t>Together, these components form a closed</w:t>
        <w:noBreakHyphen/>
        <w:t>loop control system around ANP: goals guide data collection and modeling, modeling produces outcomes, monitoring compares outcomes to goals, and corrective/learning subsystems adapt questionnaires, structure, and parameters until the decision outputs are both consistent and operationally satisfactory.</w:t>
      </w:r>
    </w:p>
    <w:p>
      <w:pPr>
        <w:sectPr>
          <w:type w:val="continuous"/>
          <w:pgSz w:w="11906" w:h="16838"/>
          <w:pgMar w:left="1134" w:right="1134" w:gutter="0" w:header="0" w:top="1134" w:footer="0" w:bottom="1134"/>
          <w:formProt w:val="false"/>
          <w:textDirection w:val="lrTb"/>
        </w:sectPr>
      </w:pPr>
    </w:p>
    <w:p>
      <w:pPr>
        <w:pStyle w:val="Normal"/>
        <w:bidi w:val="0"/>
        <w:jc w:val="left"/>
        <w:rPr/>
      </w:pPr>
      <w:r>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4</Pages>
  <Words>1323</Words>
  <Characters>8405</Characters>
  <CharactersWithSpaces>9652</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2025-12-02T21:40:35Z</dcterms:created>
  <dc:creator/>
  <dc:description/>
  <dc:language>en-US</dc:language>
  <cp:lastModifiedBy/>
  <dcterms:modified xsi:type="dcterms:W3CDTF">2025-12-02T21:41:42Z</dcterms:modified>
  <cp:revision>1</cp:revision>
  <dc:subject/>
  <dc:title/>
</cp:coreProperties>
</file>