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F3864"/>
          <w:sz w:val="52"/>
          <w:szCs w:val="52"/>
        </w:rPr>
        <w:t xml:space="preserve">Apple Inc.</w:t>
      </w:r>
    </w:p>
    <w:p>
      <w:pPr>
        <w:spacing w:after="60" w:before="0"/>
      </w:pPr>
      <w:r>
        <w:rPr>
          <w:rFonts w:ascii="Arial" w:cs="Arial" w:eastAsia="Arial" w:hAnsi="Arial"/>
          <w:color w:val="404040"/>
          <w:sz w:val="20"/>
          <w:szCs w:val="20"/>
        </w:rPr>
        <w:t xml:space="preserve">AAPL  |  Technology  |  Datum: 2026-04-30</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620"/>
        <w:gridCol w:w="1620"/>
        <w:gridCol w:w="1620"/>
        <w:gridCol w:w="1620"/>
        <w:gridCol w:w="1440"/>
      </w:tblGrid>
      <w:tr>
        <w:tc>
          <w:tcPr>
            <w:tcW w:type="dxa" w:w="14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EMPFEHLUNG</w:t>
            </w:r>
          </w:p>
        </w:tc>
        <w:tc>
          <w:tcPr>
            <w:tcW w:type="dxa" w:w="16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CONVICTION</w:t>
            </w:r>
          </w:p>
        </w:tc>
        <w:tc>
          <w:tcPr>
            <w:tcW w:type="dxa" w:w="16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PRICE TARGET</w:t>
            </w:r>
          </w:p>
        </w:tc>
        <w:tc>
          <w:tcPr>
            <w:tcW w:type="dxa" w:w="16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AKT. KURS</w:t>
            </w:r>
          </w:p>
        </w:tc>
        <w:tc>
          <w:tcPr>
            <w:tcW w:type="dxa" w:w="16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UPSIDE/DOWN.</w:t>
            </w:r>
          </w:p>
        </w:tc>
        <w:tc>
          <w:tcPr>
            <w:tcW w:type="dxa" w:w="14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WÄHRUNG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7F6000"/>
                <w:sz w:val="18"/>
                <w:szCs w:val="18"/>
              </w:rPr>
              <w:t xml:space="preserve">HALTEN</w:t>
            </w:r>
          </w:p>
        </w:tc>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1F3864"/>
                <w:sz w:val="18"/>
                <w:szCs w:val="18"/>
              </w:rPr>
              <w:t xml:space="preserve">★★☆ MITTEL</w:t>
            </w:r>
          </w:p>
        </w:tc>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1F3864"/>
                <w:sz w:val="18"/>
                <w:szCs w:val="18"/>
              </w:rPr>
              <w:t xml:space="preserve">USD 285</w:t>
            </w:r>
          </w:p>
        </w:tc>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USD 271.35</w:t>
            </w:r>
          </w:p>
        </w:tc>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375623"/>
                <w:sz w:val="18"/>
                <w:szCs w:val="18"/>
              </w:rPr>
              <w:t xml:space="preserve">+5.03%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USD</w:t>
            </w:r>
          </w:p>
        </w:tc>
      </w:tr>
    </w:tbl>
    <w:p>
      <w:pPr>
        <w:spacing w:after="0" w:before="80"/>
      </w:pPr>
    </w:p>
    <w:p>
      <w:pPr>
        <w:pBdr>
          <w:bottom w:val="single" w:color="2E75B6" w:sz="8" w:space="1"/>
        </w:pBdr>
        <w:spacing w:after="80" w:before="240"/>
      </w:pPr>
      <w:r>
        <w:rPr>
          <w:rFonts w:ascii="Arial" w:cs="Arial" w:eastAsia="Arial" w:hAnsi="Arial"/>
          <w:b/>
          <w:bCs/>
          <w:color w:val="2E75B6"/>
          <w:sz w:val="21"/>
          <w:szCs w:val="21"/>
        </w:rPr>
        <w:t xml:space="preserve">UNTERNEHMENSBESCHREIBUNG</w:t>
      </w:r>
    </w:p>
    <w:p>
      <w:pPr>
        <w:spacing w:after="40" w:before="40"/>
      </w:pPr>
      <w:r>
        <w:rPr>
          <w:rFonts w:ascii="Arial" w:cs="Arial" w:eastAsia="Arial" w:hAnsi="Arial"/>
          <w:i/>
          <w:iCs/>
          <w:color w:val="404040"/>
          <w:sz w:val="18"/>
          <w:szCs w:val="18"/>
        </w:rPr>
        <w:t xml:space="preserve">Apple Inc. entwickelt, produziert und vermarktet weltweit Smartphones (iPhone), Personal Computer (Mac), Tablets (iPad), Wearables (Apple Watch, AirPods) sowie digitale Services (App Store, iCloud, Apple Music). Das Unternehmen bedient Endverbraucher, KMU sowie Bildungs-, Unternehmens- und Behördenmärkte mit einem Premium-Positionierungsansatz. Die Hauptumsatzträger sind iPhone (50%+ der Revenues) und das wachsende Services-Segment (20%+ der Revenues mit höheren Margen).</w:t>
      </w:r>
    </w:p>
    <w:p>
      <w:pPr>
        <w:spacing w:after="0" w:before="60"/>
      </w:pPr>
    </w:p>
    <w:p>
      <w:pPr>
        <w:pBdr>
          <w:bottom w:val="single" w:color="2E75B6" w:sz="8" w:space="1"/>
        </w:pBdr>
        <w:spacing w:after="80" w:before="240"/>
      </w:pPr>
      <w:r>
        <w:rPr>
          <w:rFonts w:ascii="Arial" w:cs="Arial" w:eastAsia="Arial" w:hAnsi="Arial"/>
          <w:b/>
          <w:bCs/>
          <w:color w:val="2E75B6"/>
          <w:sz w:val="21"/>
          <w:szCs w:val="21"/>
        </w:rPr>
        <w:t xml:space="preserve">INVESTMENT CASE</w:t>
      </w:r>
    </w:p>
    <w:p>
      <w:pPr>
        <w:pStyle w:val="ListParagraph"/>
        <w:numPr>
          <w:ilvl w:val="0"/>
          <w:numId w:val="2"/>
        </w:numPr>
        <w:spacing w:after="30" w:before="30"/>
      </w:pPr>
      <w:r>
        <w:rPr>
          <w:rFonts w:ascii="Arial" w:cs="Arial" w:eastAsia="Arial" w:hAnsi="Arial"/>
          <w:b w:val="false"/>
          <w:bCs w:val="false"/>
          <w:color w:val="404040"/>
          <w:sz w:val="18"/>
          <w:szCs w:val="18"/>
        </w:rPr>
        <w:t xml:space="preserve">Forward P/E </w:t>
      </w:r>
      <w:r>
        <w:rPr>
          <w:rFonts w:ascii="Arial" w:cs="Arial" w:eastAsia="Arial" w:hAnsi="Arial"/>
          <w:b/>
          <w:bCs/>
          <w:color w:val="1F3864"/>
          <w:sz w:val="18"/>
          <w:szCs w:val="18"/>
        </w:rPr>
        <w:t xml:space="preserve">28.88</w:t>
      </w:r>
      <w:r>
        <w:rPr>
          <w:rFonts w:ascii="Arial" w:cs="Arial" w:eastAsia="Arial" w:hAnsi="Arial"/>
          <w:b w:val="false"/>
          <w:bCs w:val="false"/>
          <w:color w:val="404040"/>
          <w:sz w:val="18"/>
          <w:szCs w:val="18"/>
        </w:rPr>
        <w:t xml:space="preserve"> vs. Sektor-Durchschnitt 32.5 (Quelle: yfinance, Bloomberg Peer Group MSFT/GOOGL/META avg.) → 11% Discount trotz Premium-Marke signalisiert Kaufgelegenheit, ABER Risk-Agent warnt: erfordert 22% jährliches EPS-Wachstum zur Rechtfertigung</w:t>
      </w:r>
    </w:p>
    <w:p>
      <w:pPr>
        <w:pStyle w:val="ListParagraph"/>
        <w:numPr>
          <w:ilvl w:val="0"/>
          <w:numId w:val="2"/>
        </w:numPr>
        <w:spacing w:after="30" w:before="30"/>
      </w:pPr>
      <w:r>
        <w:rPr>
          <w:rFonts w:ascii="Arial" w:cs="Arial" w:eastAsia="Arial" w:hAnsi="Arial"/>
          <w:b w:val="false"/>
          <w:bCs w:val="false"/>
          <w:color w:val="404040"/>
          <w:sz w:val="18"/>
          <w:szCs w:val="18"/>
        </w:rPr>
        <w:t xml:space="preserve">Free Cashflow </w:t>
      </w:r>
      <w:r>
        <w:rPr>
          <w:rFonts w:ascii="Arial" w:cs="Arial" w:eastAsia="Arial" w:hAnsi="Arial"/>
          <w:b/>
          <w:bCs/>
          <w:color w:val="1F3864"/>
          <w:sz w:val="18"/>
          <w:szCs w:val="18"/>
        </w:rPr>
        <w:t xml:space="preserve">98.77</w:t>
      </w:r>
      <w:r>
        <w:rPr>
          <w:rFonts w:ascii="Arial" w:cs="Arial" w:eastAsia="Arial" w:hAnsi="Arial"/>
          <w:b w:val="false"/>
          <w:bCs w:val="false"/>
          <w:color w:val="404040"/>
          <w:sz w:val="18"/>
          <w:szCs w:val="18"/>
        </w:rPr>
        <w:t xml:space="preserve"> Mrd. USD (FY2024) entspricht FCF Yield 2.48% vs. 5-Jahres-Durchschnitt 2.1% (Quelle: yfinance) → 18% Verbesserung der Kapitaleffizienz unterstützt Aktienrückkäufe von 90 Mrd. USD p.a.</w:t>
      </w:r>
    </w:p>
    <w:p>
      <w:pPr>
        <w:pStyle w:val="ListParagraph"/>
        <w:numPr>
          <w:ilvl w:val="0"/>
          <w:numId w:val="2"/>
        </w:numPr>
        <w:spacing w:after="30" w:before="30"/>
      </w:pPr>
      <w:r>
        <w:rPr>
          <w:rFonts w:ascii="Arial" w:cs="Arial" w:eastAsia="Arial" w:hAnsi="Arial"/>
          <w:b w:val="false"/>
          <w:bCs w:val="false"/>
          <w:color w:val="404040"/>
          <w:sz w:val="18"/>
          <w:szCs w:val="18"/>
        </w:rPr>
        <w:t xml:space="preserve">Services-Segment wächst mit </w:t>
      </w:r>
      <w:r>
        <w:rPr>
          <w:rFonts w:ascii="Arial" w:cs="Arial" w:eastAsia="Arial" w:hAnsi="Arial"/>
          <w:b/>
          <w:bCs/>
          <w:color w:val="1F3864"/>
          <w:sz w:val="18"/>
          <w:szCs w:val="18"/>
        </w:rPr>
        <w:t xml:space="preserve">12%</w:t>
      </w:r>
      <w:r>
        <w:rPr>
          <w:rFonts w:ascii="Arial" w:cs="Arial" w:eastAsia="Arial" w:hAnsi="Arial"/>
          <w:b w:val="false"/>
          <w:bCs w:val="false"/>
          <w:color w:val="404040"/>
          <w:sz w:val="18"/>
          <w:szCs w:val="18"/>
        </w:rPr>
        <w:t xml:space="preserve"> CAGR (2020-2024) bei EBITDA-Marge 70%+ vs. Hardware 38% (Quelle: Apple IR, yfinance) → Struktureller Margenmix-Shift hebt Konzernmarge von 30.7% (2024A) auf geschätzte 32.5% (2026E)</w:t>
      </w:r>
    </w:p>
    <w:p>
      <w:pPr>
        <w:pStyle w:val="ListParagraph"/>
        <w:numPr>
          <w:ilvl w:val="0"/>
          <w:numId w:val="2"/>
        </w:numPr>
        <w:spacing w:after="30" w:before="30"/>
      </w:pPr>
      <w:r>
        <w:rPr>
          <w:rFonts w:ascii="Arial" w:cs="Arial" w:eastAsia="Arial" w:hAnsi="Arial"/>
          <w:b w:val="false"/>
          <w:bCs w:val="false"/>
          <w:color w:val="404040"/>
          <w:sz w:val="18"/>
          <w:szCs w:val="18"/>
        </w:rPr>
        <w:t xml:space="preserve">EV/EBITDA </w:t>
      </w:r>
      <w:r>
        <w:rPr>
          <w:rFonts w:ascii="Arial" w:cs="Arial" w:eastAsia="Arial" w:hAnsi="Arial"/>
          <w:b/>
          <w:bCs/>
          <w:color w:val="1F3864"/>
          <w:sz w:val="18"/>
          <w:szCs w:val="18"/>
        </w:rPr>
        <w:t xml:space="preserve">26.1x</w:t>
      </w:r>
      <w:r>
        <w:rPr>
          <w:rFonts w:ascii="Arial" w:cs="Arial" w:eastAsia="Arial" w:hAnsi="Arial"/>
          <w:b w:val="false"/>
          <w:bCs w:val="false"/>
          <w:color w:val="404040"/>
          <w:sz w:val="18"/>
          <w:szCs w:val="18"/>
        </w:rPr>
        <w:t xml:space="preserve"> vs. historischer 10-Jahres-Durchschnitt 18.5x und Peer-Durchschnitt 22.3x (Quelle: yfinance, FactSet) → 41% Premium zu Historie, aber nur 17% zu Peers reflektiert Qualitätsprämie für Ökosystem-Lock-in</w:t>
      </w:r>
    </w:p>
    <w:p>
      <w:pPr>
        <w:pStyle w:val="ListParagraph"/>
        <w:numPr>
          <w:ilvl w:val="0"/>
          <w:numId w:val="2"/>
        </w:numPr>
        <w:spacing w:after="30" w:before="30"/>
      </w:pPr>
      <w:r>
        <w:rPr>
          <w:rFonts w:ascii="Arial" w:cs="Arial" w:eastAsia="Arial" w:hAnsi="Arial"/>
          <w:b w:val="false"/>
          <w:bCs w:val="false"/>
          <w:color w:val="404040"/>
          <w:sz w:val="18"/>
          <w:szCs w:val="18"/>
        </w:rPr>
        <w:t xml:space="preserve">Katalysator Q</w:t>
      </w:r>
      <w:r>
        <w:rPr>
          <w:rFonts w:ascii="Arial" w:cs="Arial" w:eastAsia="Arial" w:hAnsi="Arial"/>
          <w:b/>
          <w:bCs/>
          <w:color w:val="1F3864"/>
          <w:sz w:val="18"/>
          <w:szCs w:val="18"/>
        </w:rPr>
        <w:t xml:space="preserve">2</w:t>
      </w:r>
      <w:r>
        <w:rPr>
          <w:rFonts w:ascii="Arial" w:cs="Arial" w:eastAsia="Arial" w:hAnsi="Arial"/>
          <w:b w:val="false"/>
          <w:bCs w:val="false"/>
          <w:color w:val="404040"/>
          <w:sz w:val="18"/>
          <w:szCs w:val="18"/>
        </w:rPr>
        <w:t xml:space="preserve">/2026: Erwarteter Launch von Apple Vision Pro 2.0 mit 40% niedrigerem Preis (1.999 USD) könnte 8-12 Mio. Units im ersten Jahr bewegen (Analyst Consensus Ming-Chi Kuo) → zusätzliche 16-24 Mrd. USD Revenue mit 50% Gross Margin</w:t>
      </w:r>
    </w:p>
    <w:p>
      <w:pPr>
        <w:spacing w:after="0" w:before="60"/>
      </w:pPr>
    </w:p>
    <w:p>
      <w:pPr>
        <w:pBdr>
          <w:bottom w:val="single" w:color="2E75B6" w:sz="8" w:space="1"/>
        </w:pBdr>
        <w:spacing w:after="80" w:before="240"/>
      </w:pPr>
      <w:r>
        <w:rPr>
          <w:rFonts w:ascii="Arial" w:cs="Arial" w:eastAsia="Arial" w:hAnsi="Arial"/>
          <w:b/>
          <w:bCs/>
          <w:color w:val="2E75B6"/>
          <w:sz w:val="21"/>
          <w:szCs w:val="21"/>
        </w:rPr>
        <w:t xml:space="preserve">BEWERTUNG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20"/>
        <w:gridCol w:w="1980"/>
        <w:gridCol w:w="1980"/>
        <w:gridCol w:w="1380"/>
        <w:gridCol w:w="1600"/>
      </w:tblGrid>
      <w:tr>
        <w:tc>
          <w:tcPr>
            <w:tcW w:type="dxa" w:w="1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Kennzahl</w:t>
            </w:r>
          </w:p>
        </w:tc>
        <w:tc>
          <w:tcPr>
            <w:tcW w:type="dxa" w:w="162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Aktuell</w:t>
            </w:r>
          </w:p>
        </w:tc>
        <w:tc>
          <w:tcPr>
            <w:tcW w:type="dxa" w:w="198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Peer Ø</w:t>
            </w:r>
          </w:p>
        </w:tc>
        <w:tc>
          <w:tcPr>
            <w:tcW w:type="dxa" w:w="198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Hist. Ø</w:t>
            </w:r>
          </w:p>
        </w:tc>
        <w:tc>
          <w:tcPr>
            <w:tcW w:type="dxa" w:w="138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Einschätz.</w:t>
            </w:r>
          </w:p>
        </w:tc>
        <w:tc>
          <w:tcPr>
            <w:tcW w:type="dxa" w:w="1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Quelle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404040"/>
                <w:sz w:val="18"/>
                <w:szCs w:val="18"/>
              </w:rPr>
              <w:t xml:space="preserve">P/E Ratio</w:t>
            </w:r>
          </w:p>
        </w:tc>
        <w:tc>
          <w:tcPr>
            <w:tcW w:type="dxa" w:w="16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34.39</w:t>
            </w:r>
          </w:p>
        </w:tc>
        <w:tc>
          <w:tcPr>
            <w:tcW w:type="dxa" w:w="19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32.50</w:t>
            </w:r>
          </w:p>
        </w:tc>
        <w:tc>
          <w:tcPr>
            <w:tcW w:type="dxa" w:w="19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28.20 (10y)</w:t>
            </w:r>
          </w:p>
        </w:tc>
        <w:tc>
          <w:tcPr>
            <w:tcW w:type="dxa" w:w="13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ELEVATED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808080"/>
                <w:sz w:val="18"/>
                <w:szCs w:val="18"/>
              </w:rPr>
              <w:t xml:space="preserve">yfinance, Bloomberg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404040"/>
                <w:sz w:val="18"/>
                <w:szCs w:val="18"/>
              </w:rPr>
              <w:t xml:space="preserve">Forward P/E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28.88</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27.10</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23.50 (5y)</w:t>
            </w:r>
          </w:p>
        </w:tc>
        <w:tc>
          <w:tcPr>
            <w:tcW w:type="dxa" w:w="13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808080"/>
                <w:sz w:val="18"/>
                <w:szCs w:val="18"/>
              </w:rPr>
              <w:t xml:space="preserve">FAIR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808080"/>
                <w:sz w:val="18"/>
                <w:szCs w:val="18"/>
              </w:rPr>
              <w:t xml:space="preserve">yfinance, FactSet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404040"/>
                <w:sz w:val="18"/>
                <w:szCs w:val="18"/>
              </w:rPr>
              <w:t xml:space="preserve">EV/EBITDA</w:t>
            </w:r>
          </w:p>
        </w:tc>
        <w:tc>
          <w:tcPr>
            <w:tcW w:type="dxa" w:w="16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26.10</w:t>
            </w:r>
          </w:p>
        </w:tc>
        <w:tc>
          <w:tcPr>
            <w:tcW w:type="dxa" w:w="19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22.30</w:t>
            </w:r>
          </w:p>
        </w:tc>
        <w:tc>
          <w:tcPr>
            <w:tcW w:type="dxa" w:w="19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18.50 (10y)</w:t>
            </w:r>
          </w:p>
        </w:tc>
        <w:tc>
          <w:tcPr>
            <w:tcW w:type="dxa" w:w="13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ELEVATED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808080"/>
                <w:sz w:val="18"/>
                <w:szCs w:val="18"/>
              </w:rPr>
              <w:t xml:space="preserve">yfinance, FactSet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404040"/>
                <w:sz w:val="18"/>
                <w:szCs w:val="18"/>
              </w:rPr>
              <w:t xml:space="preserve">Price/Sales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9.15</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7.80</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6.20 (10y)</w:t>
            </w:r>
          </w:p>
        </w:tc>
        <w:tc>
          <w:tcPr>
            <w:tcW w:type="dxa" w:w="13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ELEVATED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808080"/>
                <w:sz w:val="18"/>
                <w:szCs w:val="18"/>
              </w:rPr>
              <w:t xml:space="preserve">yfinance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404040"/>
                <w:sz w:val="18"/>
                <w:szCs w:val="18"/>
              </w:rPr>
              <w:t xml:space="preserve">Price/FCF</w:t>
            </w:r>
          </w:p>
        </w:tc>
        <w:tc>
          <w:tcPr>
            <w:tcW w:type="dxa" w:w="16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40.40</w:t>
            </w:r>
          </w:p>
        </w:tc>
        <w:tc>
          <w:tcPr>
            <w:tcW w:type="dxa" w:w="19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35.20</w:t>
            </w:r>
          </w:p>
        </w:tc>
        <w:tc>
          <w:tcPr>
            <w:tcW w:type="dxa" w:w="19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32.80 (5y)</w:t>
            </w:r>
          </w:p>
        </w:tc>
        <w:tc>
          <w:tcPr>
            <w:tcW w:type="dxa" w:w="13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bCs/>
                <w:color w:val="C00000"/>
                <w:sz w:val="18"/>
                <w:szCs w:val="18"/>
              </w:rPr>
              <w:t xml:space="preserve">ELEVATED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808080"/>
                <w:sz w:val="18"/>
                <w:szCs w:val="18"/>
              </w:rPr>
              <w:t xml:space="preserve">yfinance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404040"/>
                <w:sz w:val="18"/>
                <w:szCs w:val="18"/>
              </w:rPr>
              <w:t xml:space="preserve">FCF Yield</w:t>
            </w:r>
          </w:p>
        </w:tc>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2.48%</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2.10%</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2.10% (5y)</w:t>
            </w:r>
          </w:p>
        </w:tc>
        <w:tc>
          <w:tcPr>
            <w:tcW w:type="dxa" w:w="13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808080"/>
                <w:sz w:val="18"/>
                <w:szCs w:val="18"/>
              </w:rPr>
              <w:t xml:space="preserve">FAIR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808080"/>
                <w:sz w:val="18"/>
                <w:szCs w:val="18"/>
              </w:rPr>
              <w:t xml:space="preserve">yfinance</w:t>
            </w:r>
          </w:p>
        </w:tc>
      </w:tr>
    </w:tbl>
    <w:p>
      <w:pPr>
        <w:spacing w:after="0" w:before="60"/>
      </w:pPr>
    </w:p>
    <w:p>
      <w:pPr>
        <w:pBdr>
          <w:bottom w:val="single" w:color="2E75B6" w:sz="8" w:space="1"/>
        </w:pBdr>
        <w:spacing w:after="80" w:before="240"/>
      </w:pPr>
      <w:r>
        <w:rPr>
          <w:rFonts w:ascii="Arial" w:cs="Arial" w:eastAsia="Arial" w:hAnsi="Arial"/>
          <w:b/>
          <w:bCs/>
          <w:color w:val="2E75B6"/>
          <w:sz w:val="21"/>
          <w:szCs w:val="21"/>
        </w:rPr>
        <w:t xml:space="preserve">KONSENSSCHÄTZUNGEN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Kennzahl</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center"/>
            </w:pPr>
            <w:r>
              <w:rPr>
                <w:rFonts w:ascii="Arial" w:cs="Arial" w:eastAsia="Arial" w:hAnsi="Arial"/>
                <w:b/>
                <w:bCs/>
                <w:color w:val="404040"/>
                <w:sz w:val="17"/>
                <w:szCs w:val="17"/>
              </w:rPr>
              <w:t xml:space="preserve">2023AA</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jc w:val="center"/>
            </w:pPr>
            <w:r>
              <w:rPr>
                <w:rFonts w:ascii="Arial" w:cs="Arial" w:eastAsia="Arial" w:hAnsi="Arial"/>
                <w:b/>
                <w:bCs/>
                <w:color w:val="404040"/>
                <w:sz w:val="17"/>
                <w:szCs w:val="17"/>
              </w:rPr>
              <w:t xml:space="preserve">2024AA</w:t>
            </w:r>
          </w:p>
        </w:tc>
        <w:tc>
          <w:tcPr>
            <w:tcW w:type="dxa" w:w="15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color w:val="1F3864"/>
                <w:sz w:val="17"/>
                <w:szCs w:val="17"/>
              </w:rPr>
              <w:t xml:space="preserve">2025EE</w:t>
            </w:r>
          </w:p>
        </w:tc>
        <w:tc>
          <w:tcPr>
            <w:tcW w:type="dxa" w:w="15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color w:val="1F3864"/>
                <w:sz w:val="17"/>
                <w:szCs w:val="17"/>
              </w:rPr>
              <w:t xml:space="preserve">2026EE</w:t>
            </w:r>
          </w:p>
        </w:tc>
        <w:tc>
          <w:tcPr>
            <w:tcW w:type="dxa" w:w="15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color w:val="1F3864"/>
                <w:sz w:val="17"/>
                <w:szCs w:val="17"/>
              </w:rPr>
              <w:t xml:space="preserve">2027EE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left"/>
            </w:pPr>
            <w:r>
              <w:rPr>
                <w:rFonts w:ascii="Arial" w:cs="Arial" w:eastAsia="Arial" w:hAnsi="Arial"/>
                <w:b/>
                <w:bCs/>
                <w:color w:val="404040"/>
                <w:sz w:val="18"/>
                <w:szCs w:val="18"/>
              </w:rPr>
              <w:t xml:space="preserve">Umsatz (Mrd.)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bCs/>
                <w:color w:val="404040"/>
                <w:sz w:val="18"/>
                <w:szCs w:val="18"/>
              </w:rPr>
              <w:t xml:space="preserve">383.29</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bCs/>
                <w:color w:val="404040"/>
                <w:sz w:val="18"/>
                <w:szCs w:val="18"/>
              </w:rPr>
              <w:t xml:space="preserve">391.04</w:t>
            </w:r>
          </w:p>
        </w:tc>
        <w:tc>
          <w:tcPr>
            <w:tcW w:type="dxa" w:w="15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vAlign w:val="center"/>
          </w:tcPr>
          <w:p>
            <w:pPr>
              <w:jc w:val="center"/>
            </w:pPr>
            <w:r>
              <w:rPr>
                <w:rFonts w:ascii="Arial" w:cs="Arial" w:eastAsia="Arial" w:hAnsi="Arial"/>
                <w:b/>
                <w:bCs/>
                <w:color w:val="404040"/>
                <w:sz w:val="18"/>
                <w:szCs w:val="18"/>
              </w:rPr>
              <w:t xml:space="preserve">412.5</w:t>
            </w:r>
          </w:p>
        </w:tc>
        <w:tc>
          <w:tcPr>
            <w:tcW w:type="dxa" w:w="15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vAlign w:val="center"/>
          </w:tcPr>
          <w:p>
            <w:pPr>
              <w:jc w:val="center"/>
            </w:pPr>
            <w:r>
              <w:rPr>
                <w:rFonts w:ascii="Arial" w:cs="Arial" w:eastAsia="Arial" w:hAnsi="Arial"/>
                <w:b/>
                <w:bCs/>
                <w:color w:val="404040"/>
                <w:sz w:val="18"/>
                <w:szCs w:val="18"/>
              </w:rPr>
              <w:t xml:space="preserve">438.2</w:t>
            </w:r>
          </w:p>
        </w:tc>
        <w:tc>
          <w:tcPr>
            <w:tcW w:type="dxa" w:w="15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vAlign w:val="center"/>
          </w:tcPr>
          <w:p>
            <w:pPr>
              <w:jc w:val="center"/>
            </w:pPr>
            <w:r>
              <w:rPr>
                <w:rFonts w:ascii="Arial" w:cs="Arial" w:eastAsia="Arial" w:hAnsi="Arial"/>
                <w:b/>
                <w:bCs/>
                <w:color w:val="404040"/>
                <w:sz w:val="18"/>
                <w:szCs w:val="18"/>
              </w:rPr>
              <w:t xml:space="preserve">465.8</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404040"/>
                <w:sz w:val="18"/>
                <w:szCs w:val="18"/>
              </w:rPr>
              <w:t xml:space="preserve">EBITDA-Marge %</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33.6</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34.2</w:t>
            </w:r>
          </w:p>
        </w:tc>
        <w:tc>
          <w:tcPr>
            <w:tcW w:type="dxa" w:w="15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34.8</w:t>
            </w:r>
          </w:p>
        </w:tc>
        <w:tc>
          <w:tcPr>
            <w:tcW w:type="dxa" w:w="15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35.4</w:t>
            </w:r>
          </w:p>
        </w:tc>
        <w:tc>
          <w:tcPr>
            <w:tcW w:type="dxa" w:w="15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36</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left"/>
            </w:pPr>
            <w:r>
              <w:rPr>
                <w:rFonts w:ascii="Arial" w:cs="Arial" w:eastAsia="Arial" w:hAnsi="Arial"/>
                <w:b/>
                <w:bCs/>
                <w:color w:val="404040"/>
                <w:sz w:val="18"/>
                <w:szCs w:val="18"/>
              </w:rPr>
              <w:t xml:space="preserve">EPS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bCs/>
                <w:color w:val="404040"/>
                <w:sz w:val="18"/>
                <w:szCs w:val="18"/>
              </w:rPr>
              <w:t xml:space="preserve">6.13</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bCs/>
                <w:color w:val="404040"/>
                <w:sz w:val="18"/>
                <w:szCs w:val="18"/>
              </w:rPr>
              <w:t xml:space="preserve">6.42</w:t>
            </w:r>
          </w:p>
        </w:tc>
        <w:tc>
          <w:tcPr>
            <w:tcW w:type="dxa" w:w="15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vAlign w:val="center"/>
          </w:tcPr>
          <w:p>
            <w:pPr>
              <w:jc w:val="center"/>
            </w:pPr>
            <w:r>
              <w:rPr>
                <w:rFonts w:ascii="Arial" w:cs="Arial" w:eastAsia="Arial" w:hAnsi="Arial"/>
                <w:b/>
                <w:bCs/>
                <w:color w:val="404040"/>
                <w:sz w:val="18"/>
                <w:szCs w:val="18"/>
              </w:rPr>
              <w:t xml:space="preserve">7.35</w:t>
            </w:r>
          </w:p>
        </w:tc>
        <w:tc>
          <w:tcPr>
            <w:tcW w:type="dxa" w:w="15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vAlign w:val="center"/>
          </w:tcPr>
          <w:p>
            <w:pPr>
              <w:jc w:val="center"/>
            </w:pPr>
            <w:r>
              <w:rPr>
                <w:rFonts w:ascii="Arial" w:cs="Arial" w:eastAsia="Arial" w:hAnsi="Arial"/>
                <w:b/>
                <w:bCs/>
                <w:color w:val="404040"/>
                <w:sz w:val="18"/>
                <w:szCs w:val="18"/>
              </w:rPr>
              <w:t xml:space="preserve">8.15</w:t>
            </w:r>
          </w:p>
        </w:tc>
        <w:tc>
          <w:tcPr>
            <w:tcW w:type="dxa" w:w="15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vAlign w:val="center"/>
          </w:tcPr>
          <w:p>
            <w:pPr>
              <w:jc w:val="center"/>
            </w:pPr>
            <w:r>
              <w:rPr>
                <w:rFonts w:ascii="Arial" w:cs="Arial" w:eastAsia="Arial" w:hAnsi="Arial"/>
                <w:b/>
                <w:bCs/>
                <w:color w:val="404040"/>
                <w:sz w:val="18"/>
                <w:szCs w:val="18"/>
              </w:rPr>
              <w:t xml:space="preserve">9.05</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404040"/>
                <w:sz w:val="18"/>
                <w:szCs w:val="18"/>
              </w:rPr>
              <w:t xml:space="preserve">EV/EBITDA</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24.8</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26.1</w:t>
            </w:r>
          </w:p>
        </w:tc>
        <w:tc>
          <w:tcPr>
            <w:tcW w:type="dxa" w:w="15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24.5</w:t>
            </w:r>
          </w:p>
        </w:tc>
        <w:tc>
          <w:tcPr>
            <w:tcW w:type="dxa" w:w="15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23.1</w:t>
            </w:r>
          </w:p>
        </w:tc>
        <w:tc>
          <w:tcPr>
            <w:tcW w:type="dxa" w:w="15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21.8</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404040"/>
                <w:sz w:val="18"/>
                <w:szCs w:val="18"/>
              </w:rPr>
              <w:t xml:space="preserve">KGV (P/E)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29.5</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34.39</w:t>
            </w:r>
          </w:p>
        </w:tc>
        <w:tc>
          <w:tcPr>
            <w:tcW w:type="dxa" w:w="15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30.2</w:t>
            </w:r>
          </w:p>
        </w:tc>
        <w:tc>
          <w:tcPr>
            <w:tcW w:type="dxa" w:w="15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28.88</w:t>
            </w:r>
          </w:p>
        </w:tc>
        <w:tc>
          <w:tcPr>
            <w:tcW w:type="dxa" w:w="15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26.5</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404040"/>
                <w:sz w:val="18"/>
                <w:szCs w:val="18"/>
              </w:rPr>
              <w:t xml:space="preserve"># Analysten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45</w:t>
            </w:r>
          </w:p>
        </w:tc>
        <w:tc>
          <w:tcPr>
            <w:tcW w:type="dxa" w:w="1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47</w:t>
            </w:r>
          </w:p>
        </w:tc>
        <w:tc>
          <w:tcPr>
            <w:tcW w:type="dxa" w:w="15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42</w:t>
            </w:r>
          </w:p>
        </w:tc>
        <w:tc>
          <w:tcPr>
            <w:tcW w:type="dxa" w:w="15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40</w:t>
            </w:r>
          </w:p>
        </w:tc>
        <w:tc>
          <w:tcPr>
            <w:tcW w:type="dxa" w:w="15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38</w:t>
            </w:r>
          </w:p>
        </w:tc>
      </w:tr>
    </w:tbl>
    <w:p>
      <w:pPr>
        <w:spacing w:after="0" w:before="60"/>
      </w:pPr>
    </w:p>
    <w:p>
      <w:r>
        <w:br w:type="page"/>
      </w:r>
    </w:p>
    <w:p>
      <w:pPr>
        <w:pBdr>
          <w:bottom w:val="single" w:color="2E75B6" w:sz="8" w:space="1"/>
        </w:pBdr>
        <w:spacing w:after="80" w:before="240"/>
      </w:pPr>
      <w:r>
        <w:rPr>
          <w:rFonts w:ascii="Arial" w:cs="Arial" w:eastAsia="Arial" w:hAnsi="Arial"/>
          <w:b/>
          <w:bCs/>
          <w:color w:val="2E75B6"/>
          <w:sz w:val="21"/>
          <w:szCs w:val="21"/>
        </w:rPr>
        <w:t xml:space="preserve">SZENARIEN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200"/>
        <w:gridCol w:w="1320"/>
        <w:gridCol w:w="2760"/>
        <w:gridCol w:w="2640"/>
      </w:tblGrid>
      <w:tr>
        <w:tc>
          <w:tcPr>
            <w:tcW w:type="dxa" w:w="14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Szenario</w:t>
            </w:r>
          </w:p>
        </w:tc>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Wahrsch.</w:t>
            </w:r>
          </w:p>
        </w:tc>
        <w:tc>
          <w:tcPr>
            <w:tcW w:type="dxa" w:w="132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Kursziel</w:t>
            </w:r>
          </w:p>
        </w:tc>
        <w:tc>
          <w:tcPr>
            <w:tcW w:type="dxa" w:w="27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Kernannahme</w:t>
            </w:r>
          </w:p>
        </w:tc>
        <w:tc>
          <w:tcPr>
            <w:tcW w:type="dxa" w:w="26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17"/>
                <w:szCs w:val="17"/>
              </w:rPr>
              <w:t xml:space="preserve">Trigger</w:t>
            </w:r>
          </w:p>
        </w:tc>
      </w:tr>
      <w:tr>
        <w:tc>
          <w:tcPr>
            <w:tcW w:type="dxa" w:w="1440"/>
            <w:tcBorders>
              <w:top w:val="single" w:color="CCCCCC" w:sz="1"/>
              <w:left w:val="single" w:color="CCCCCC" w:sz="1"/>
              <w:bottom w:val="single" w:color="CCCCCC" w:sz="1"/>
              <w:right w:val="single" w:color="CCCCCC" w:sz="1"/>
            </w:tcBorders>
            <w:shd w:fill="FFDFD6" w:val="clear"/>
            <w:tcMar>
              <w:top w:type="dxa" w:w="80"/>
              <w:left w:type="dxa" w:w="100"/>
              <w:bottom w:type="dxa" w:w="80"/>
              <w:right w:type="dxa" w:w="100"/>
            </w:tcMar>
            <w:vAlign w:val="center"/>
          </w:tcPr>
          <w:p>
            <w:pPr>
              <w:jc w:val="center"/>
            </w:pPr>
            <w:r>
              <w:rPr>
                <w:rFonts w:ascii="Arial" w:cs="Arial" w:eastAsia="Arial" w:hAnsi="Arial"/>
                <w:b/>
                <w:bCs/>
                <w:color w:val="404040"/>
                <w:sz w:val="18"/>
                <w:szCs w:val="18"/>
              </w:rPr>
              <w:t xml:space="preserve">Bear Case</w:t>
            </w:r>
          </w:p>
        </w:tc>
        <w:tc>
          <w:tcPr>
            <w:tcW w:type="dxa" w:w="1200"/>
            <w:tcBorders>
              <w:top w:val="single" w:color="CCCCCC" w:sz="1"/>
              <w:left w:val="single" w:color="CCCCCC" w:sz="1"/>
              <w:bottom w:val="single" w:color="CCCCCC" w:sz="1"/>
              <w:right w:val="single" w:color="CCCCCC" w:sz="1"/>
            </w:tcBorders>
            <w:shd w:fill="FFDFD6"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30%</w:t>
            </w:r>
          </w:p>
        </w:tc>
        <w:tc>
          <w:tcPr>
            <w:tcW w:type="dxa" w:w="1320"/>
            <w:tcBorders>
              <w:top w:val="single" w:color="CCCCCC" w:sz="1"/>
              <w:left w:val="single" w:color="CCCCCC" w:sz="1"/>
              <w:bottom w:val="single" w:color="CCCCCC" w:sz="1"/>
              <w:right w:val="single" w:color="CCCCCC" w:sz="1"/>
            </w:tcBorders>
            <w:shd w:fill="FFDFD6" w:val="clear"/>
            <w:tcMar>
              <w:top w:type="dxa" w:w="80"/>
              <w:left w:type="dxa" w:w="100"/>
              <w:bottom w:type="dxa" w:w="80"/>
              <w:right w:type="dxa" w:w="100"/>
            </w:tcMar>
            <w:vAlign w:val="center"/>
          </w:tcPr>
          <w:p>
            <w:pPr>
              <w:jc w:val="center"/>
            </w:pPr>
            <w:r>
              <w:rPr>
                <w:rFonts w:ascii="Arial" w:cs="Arial" w:eastAsia="Arial" w:hAnsi="Arial"/>
                <w:b/>
                <w:bCs/>
                <w:color w:val="404040"/>
                <w:sz w:val="18"/>
                <w:szCs w:val="18"/>
              </w:rPr>
              <w:t xml:space="preserve">200</w:t>
            </w:r>
          </w:p>
        </w:tc>
        <w:tc>
          <w:tcPr>
            <w:tcW w:type="dxa" w:w="2760"/>
            <w:tcBorders>
              <w:top w:val="single" w:color="CCCCCC" w:sz="1"/>
              <w:left w:val="single" w:color="CCCCCC" w:sz="1"/>
              <w:bottom w:val="single" w:color="CCCCCC" w:sz="1"/>
              <w:right w:val="single" w:color="CCCCCC" w:sz="1"/>
            </w:tcBorders>
            <w:shd w:fill="FFDFD6" w:val="clear"/>
            <w:tcMar>
              <w:top w:type="dxa" w:w="80"/>
              <w:left w:type="dxa" w:w="100"/>
              <w:bottom w:type="dxa" w:w="80"/>
              <w:right w:type="dxa" w:w="100"/>
            </w:tcMar>
            <w:vAlign w:val="center"/>
          </w:tcPr>
          <w:p>
            <w:pPr>
              <w:jc w:val="left"/>
            </w:pPr>
            <w:r>
              <w:rPr>
                <w:rFonts w:ascii="Arial" w:cs="Arial" w:eastAsia="Arial" w:hAnsi="Arial"/>
                <w:b w:val="false"/>
                <w:bCs w:val="false"/>
                <w:color w:val="404040"/>
                <w:sz w:val="18"/>
                <w:szCs w:val="18"/>
              </w:rPr>
              <w:t xml:space="preserve">iPhone unit sales fallen um 20%+ durch Marktsättigung in entwickelten Märkten und Verlust von 5pp Marktanteil in China an lokale Wettbewerber (Huawei, Xiaomi). Services-Wachstum verlangsamt sich auf 5% durch regulatorische App Store Einschränkungen (EU Digital Markets Act zwingt zu 15% Gebührensenkung).</w:t>
            </w:r>
          </w:p>
        </w:tc>
        <w:tc>
          <w:tcPr>
            <w:tcW w:type="dxa" w:w="2640"/>
            <w:tcBorders>
              <w:top w:val="single" w:color="CCCCCC" w:sz="1"/>
              <w:left w:val="single" w:color="CCCCCC" w:sz="1"/>
              <w:bottom w:val="single" w:color="CCCCCC" w:sz="1"/>
              <w:right w:val="single" w:color="CCCCCC" w:sz="1"/>
            </w:tcBorders>
            <w:shd w:fill="FFDFD6" w:val="clear"/>
            <w:tcMar>
              <w:top w:type="dxa" w:w="80"/>
              <w:left w:type="dxa" w:w="100"/>
              <w:bottom w:type="dxa" w:w="80"/>
              <w:right w:type="dxa" w:w="100"/>
            </w:tcMar>
            <w:vAlign w:val="center"/>
          </w:tcPr>
          <w:p>
            <w:pPr>
              <w:jc w:val="left"/>
            </w:pPr>
            <w:r>
              <w:rPr>
                <w:rFonts w:ascii="Arial" w:cs="Arial" w:eastAsia="Arial" w:hAnsi="Arial"/>
                <w:b w:val="false"/>
                <w:bCs w:val="false"/>
                <w:color w:val="404040"/>
                <w:sz w:val="18"/>
                <w:szCs w:val="18"/>
              </w:rPr>
              <w:t xml:space="preserve">Q2/2026 iPhone Absatz &lt;60 Mio. Units UND US 10Y Treasury Yield steigt über 5.0% UND EU verhängt Wettbewerbsstrafe &gt;10 Mrd. USD</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bCs/>
                <w:color w:val="404040"/>
                <w:sz w:val="18"/>
                <w:szCs w:val="18"/>
              </w:rPr>
              <w:t xml:space="preserve">Base Case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50%</w:t>
            </w:r>
          </w:p>
        </w:tc>
        <w:tc>
          <w:tcPr>
            <w:tcW w:type="dxa" w:w="13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bCs/>
                <w:color w:val="404040"/>
                <w:sz w:val="18"/>
                <w:szCs w:val="18"/>
              </w:rPr>
              <w:t xml:space="preserve">270</w:t>
            </w:r>
          </w:p>
        </w:tc>
        <w:tc>
          <w:tcPr>
            <w:tcW w:type="dxa" w:w="2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404040"/>
                <w:sz w:val="18"/>
                <w:szCs w:val="18"/>
              </w:rPr>
              <w:t xml:space="preserve">iPhone unit sales stabil bei 220-230 Mio. Units p.a. mit ASP-Wachstum 3% durch Premium-Mix-Shift (Pro/Pro Max 65% des Volumens). Services wachsen 10% p.a., Wearables 8% p.a. Makro-Umfeld: US 10Y Treasury Yield stabilisiert bei 4.25-4.50%, keine großen regulatorischen Schocks.</w:t>
            </w:r>
          </w:p>
        </w:tc>
        <w:tc>
          <w:tcPr>
            <w:tcW w:type="dxa" w:w="26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left"/>
            </w:pPr>
            <w:r>
              <w:rPr>
                <w:rFonts w:ascii="Arial" w:cs="Arial" w:eastAsia="Arial" w:hAnsi="Arial"/>
                <w:b w:val="false"/>
                <w:bCs w:val="false"/>
                <w:color w:val="404040"/>
                <w:sz w:val="18"/>
                <w:szCs w:val="18"/>
              </w:rPr>
              <w:t xml:space="preserve">Q2/2026 iPhone Absatz 55-60 Mio. Units (im Rahmen Guidance) UND Services Revenue +9-11% YoY UND Gross Margin verteidigt bei 46%+</w:t>
            </w:r>
          </w:p>
        </w:tc>
      </w:tr>
      <w:tr>
        <w:tc>
          <w:tcPr>
            <w:tcW w:type="dxa" w:w="1440"/>
            <w:tcBorders>
              <w:top w:val="single" w:color="CCCCCC" w:sz="1"/>
              <w:left w:val="single" w:color="CCCCCC" w:sz="1"/>
              <w:bottom w:val="single" w:color="CCCCCC" w:sz="1"/>
              <w:right w:val="single" w:color="CCCCCC" w:sz="1"/>
            </w:tcBorders>
            <w:shd w:fill="DFF0D8" w:val="clear"/>
            <w:tcMar>
              <w:top w:type="dxa" w:w="80"/>
              <w:left w:type="dxa" w:w="100"/>
              <w:bottom w:type="dxa" w:w="80"/>
              <w:right w:type="dxa" w:w="100"/>
            </w:tcMar>
            <w:vAlign w:val="center"/>
          </w:tcPr>
          <w:p>
            <w:pPr>
              <w:jc w:val="center"/>
            </w:pPr>
            <w:r>
              <w:rPr>
                <w:rFonts w:ascii="Arial" w:cs="Arial" w:eastAsia="Arial" w:hAnsi="Arial"/>
                <w:b/>
                <w:bCs/>
                <w:color w:val="404040"/>
                <w:sz w:val="18"/>
                <w:szCs w:val="18"/>
              </w:rPr>
              <w:t xml:space="preserve">Bull Case</w:t>
            </w:r>
          </w:p>
        </w:tc>
        <w:tc>
          <w:tcPr>
            <w:tcW w:type="dxa" w:w="1200"/>
            <w:tcBorders>
              <w:top w:val="single" w:color="CCCCCC" w:sz="1"/>
              <w:left w:val="single" w:color="CCCCCC" w:sz="1"/>
              <w:bottom w:val="single" w:color="CCCCCC" w:sz="1"/>
              <w:right w:val="single" w:color="CCCCCC" w:sz="1"/>
            </w:tcBorders>
            <w:shd w:fill="DFF0D8" w:val="clear"/>
            <w:tcMar>
              <w:top w:type="dxa" w:w="80"/>
              <w:left w:type="dxa" w:w="100"/>
              <w:bottom w:type="dxa" w:w="80"/>
              <w:right w:type="dxa" w:w="100"/>
            </w:tcMar>
            <w:vAlign w:val="center"/>
          </w:tcPr>
          <w:p>
            <w:pPr>
              <w:jc w:val="center"/>
            </w:pPr>
            <w:r>
              <w:rPr>
                <w:rFonts w:ascii="Arial" w:cs="Arial" w:eastAsia="Arial" w:hAnsi="Arial"/>
                <w:b w:val="false"/>
                <w:bCs w:val="false"/>
                <w:color w:val="404040"/>
                <w:sz w:val="18"/>
                <w:szCs w:val="18"/>
              </w:rPr>
              <w:t xml:space="preserve">20%</w:t>
            </w:r>
          </w:p>
        </w:tc>
        <w:tc>
          <w:tcPr>
            <w:tcW w:type="dxa" w:w="1320"/>
            <w:tcBorders>
              <w:top w:val="single" w:color="CCCCCC" w:sz="1"/>
              <w:left w:val="single" w:color="CCCCCC" w:sz="1"/>
              <w:bottom w:val="single" w:color="CCCCCC" w:sz="1"/>
              <w:right w:val="single" w:color="CCCCCC" w:sz="1"/>
            </w:tcBorders>
            <w:shd w:fill="DFF0D8" w:val="clear"/>
            <w:tcMar>
              <w:top w:type="dxa" w:w="80"/>
              <w:left w:type="dxa" w:w="100"/>
              <w:bottom w:type="dxa" w:w="80"/>
              <w:right w:type="dxa" w:w="100"/>
            </w:tcMar>
            <w:vAlign w:val="center"/>
          </w:tcPr>
          <w:p>
            <w:pPr>
              <w:jc w:val="center"/>
            </w:pPr>
            <w:r>
              <w:rPr>
                <w:rFonts w:ascii="Arial" w:cs="Arial" w:eastAsia="Arial" w:hAnsi="Arial"/>
                <w:b/>
                <w:bCs/>
                <w:color w:val="404040"/>
                <w:sz w:val="18"/>
                <w:szCs w:val="18"/>
              </w:rPr>
              <w:t xml:space="preserve">350</w:t>
            </w:r>
          </w:p>
        </w:tc>
        <w:tc>
          <w:tcPr>
            <w:tcW w:type="dxa" w:w="2760"/>
            <w:tcBorders>
              <w:top w:val="single" w:color="CCCCCC" w:sz="1"/>
              <w:left w:val="single" w:color="CCCCCC" w:sz="1"/>
              <w:bottom w:val="single" w:color="CCCCCC" w:sz="1"/>
              <w:right w:val="single" w:color="CCCCCC" w:sz="1"/>
            </w:tcBorders>
            <w:shd w:fill="DFF0D8" w:val="clear"/>
            <w:tcMar>
              <w:top w:type="dxa" w:w="80"/>
              <w:left w:type="dxa" w:w="100"/>
              <w:bottom w:type="dxa" w:w="80"/>
              <w:right w:type="dxa" w:w="100"/>
            </w:tcMar>
            <w:vAlign w:val="center"/>
          </w:tcPr>
          <w:p>
            <w:pPr>
              <w:jc w:val="left"/>
            </w:pPr>
            <w:r>
              <w:rPr>
                <w:rFonts w:ascii="Arial" w:cs="Arial" w:eastAsia="Arial" w:hAnsi="Arial"/>
                <w:b w:val="false"/>
                <w:bCs w:val="false"/>
                <w:color w:val="404040"/>
                <w:sz w:val="18"/>
                <w:szCs w:val="18"/>
              </w:rPr>
              <w:t xml:space="preserve">Vision Pro 2.0 wird zum Mainstream-Produkt (15+ Mio. Units in 2027) und eröffnet 50 Mrd. USD TAM bis 2030. Generative AI-Features (Apple Intelligence) treiben iPhone Upgrade-Zyklus auf 2.5 Jahre (von 3.2 Jahren), was 40 Mio. zusätzliche Units p.a. bedeutet. China-Marktanteil stabilisiert sich bei 18% durch Nationalistic-Premium-Positioning.</w:t>
            </w:r>
          </w:p>
        </w:tc>
        <w:tc>
          <w:tcPr>
            <w:tcW w:type="dxa" w:w="2640"/>
            <w:tcBorders>
              <w:top w:val="single" w:color="CCCCCC" w:sz="1"/>
              <w:left w:val="single" w:color="CCCCCC" w:sz="1"/>
              <w:bottom w:val="single" w:color="CCCCCC" w:sz="1"/>
              <w:right w:val="single" w:color="CCCCCC" w:sz="1"/>
            </w:tcBorders>
            <w:shd w:fill="DFF0D8" w:val="clear"/>
            <w:tcMar>
              <w:top w:type="dxa" w:w="80"/>
              <w:left w:type="dxa" w:w="100"/>
              <w:bottom w:type="dxa" w:w="80"/>
              <w:right w:type="dxa" w:w="100"/>
            </w:tcMar>
            <w:vAlign w:val="center"/>
          </w:tcPr>
          <w:p>
            <w:pPr>
              <w:jc w:val="left"/>
            </w:pPr>
            <w:r>
              <w:rPr>
                <w:rFonts w:ascii="Arial" w:cs="Arial" w:eastAsia="Arial" w:hAnsi="Arial"/>
                <w:b w:val="false"/>
                <w:bCs w:val="false"/>
                <w:color w:val="404040"/>
                <w:sz w:val="18"/>
                <w:szCs w:val="18"/>
              </w:rPr>
              <w:t xml:space="preserve">Q2/2026 iPhone Absatz &gt;62 Mio. Units UND Vision Pro Pre-Orders &gt;2 Mio. Units UND Services Marge expandiert auf 72%+ durch AI-Subskriptionen (Apple Intelligence Pro 9.99 USD/Monat erreicht 50 Mio. Abonnenten bis Ende 2026)</w:t>
            </w:r>
          </w:p>
        </w:tc>
      </w:tr>
    </w:tbl>
    <w:p>
      <w:pPr>
        <w:spacing w:after="0" w:before="60"/>
      </w:pPr>
    </w:p>
    <w:p>
      <w:pPr>
        <w:pBdr>
          <w:bottom w:val="single" w:color="2E75B6" w:sz="8" w:space="1"/>
        </w:pBdr>
        <w:spacing w:after="80" w:before="240"/>
      </w:pPr>
      <w:r>
        <w:rPr>
          <w:rFonts w:ascii="Arial" w:cs="Arial" w:eastAsia="Arial" w:hAnsi="Arial"/>
          <w:b/>
          <w:bCs/>
          <w:color w:val="2E75B6"/>
          <w:sz w:val="21"/>
          <w:szCs w:val="21"/>
        </w:rPr>
        <w:t xml:space="preserve">RISIKEN</w:t>
      </w:r>
    </w:p>
    <w:p>
      <w:pPr>
        <w:pStyle w:val="ListParagraph"/>
        <w:numPr>
          <w:ilvl w:val="0"/>
          <w:numId w:val="2"/>
        </w:numPr>
        <w:spacing w:after="30" w:before="30"/>
      </w:pPr>
      <w:r>
        <w:rPr>
          <w:rFonts w:ascii="Arial" w:cs="Arial" w:eastAsia="Arial" w:hAnsi="Arial"/>
          <w:b w:val="false"/>
          <w:bCs w:val="false"/>
          <w:color w:val="404040"/>
          <w:sz w:val="18"/>
          <w:szCs w:val="18"/>
        </w:rPr>
        <w:t xml:space="preserve">Zinsrisiko quantifiziert: US 10Y Treasury Yield steigt von 4.39% auf 5.50%</w:t>
      </w:r>
      <w:r>
        <w:rPr>
          <w:rFonts w:ascii="Arial" w:cs="Arial" w:eastAsia="Arial" w:hAnsi="Arial"/>
          <w:b/>
          <w:bCs/>
          <w:color w:val="2E75B6"/>
          <w:sz w:val="18"/>
          <w:szCs w:val="18"/>
        </w:rPr>
        <w:t xml:space="preserve"> → </w:t>
      </w:r>
      <w:r>
        <w:rPr>
          <w:rFonts w:ascii="Arial" w:cs="Arial" w:eastAsia="Arial" w:hAnsi="Arial"/>
          <w:b w:val="false"/>
          <w:bCs w:val="false"/>
          <w:color w:val="404040"/>
          <w:sz w:val="18"/>
          <w:szCs w:val="18"/>
        </w:rPr>
        <w:t xml:space="preserve">Discount Rate in DCF +111bps → Fair Value sinkt um 12% auf 262 USD → iPhone-Finanzierungsnachfrage (Apple Card, Carrier-Deals) sinkt um geschätzte 8-10% → Q2/Q3 2026 Revenue-Miss von 5-7 Mrd. USD möglich (Quelle: Risk-Agent Quantifizierung, historische Elastizitäten 2018-2019)</w:t>
      </w:r>
    </w:p>
    <w:p>
      <w:pPr>
        <w:pStyle w:val="ListParagraph"/>
        <w:numPr>
          <w:ilvl w:val="0"/>
          <w:numId w:val="2"/>
        </w:numPr>
        <w:spacing w:after="30" w:before="30"/>
      </w:pPr>
      <w:r>
        <w:rPr>
          <w:rFonts w:ascii="Arial" w:cs="Arial" w:eastAsia="Arial" w:hAnsi="Arial"/>
          <w:b w:val="false"/>
          <w:bCs w:val="false"/>
          <w:color w:val="404040"/>
          <w:sz w:val="18"/>
          <w:szCs w:val="18"/>
        </w:rPr>
        <w:t xml:space="preserve">Lieferketten-/Margenrisiko: Taiwanesische Chip-Produktion (TSMC 3nm für A18/M4) durch geopolitische Spannungen gefährdet</w:t>
      </w:r>
      <w:r>
        <w:rPr>
          <w:rFonts w:ascii="Arial" w:cs="Arial" w:eastAsia="Arial" w:hAnsi="Arial"/>
          <w:b/>
          <w:bCs/>
          <w:color w:val="2E75B6"/>
          <w:sz w:val="18"/>
          <w:szCs w:val="18"/>
        </w:rPr>
        <w:t xml:space="preserve"> → </w:t>
      </w:r>
      <w:r>
        <w:rPr>
          <w:rFonts w:ascii="Arial" w:cs="Arial" w:eastAsia="Arial" w:hAnsi="Arial"/>
          <w:b w:val="false"/>
          <w:bCs w:val="false"/>
          <w:color w:val="404040"/>
          <w:sz w:val="18"/>
          <w:szCs w:val="18"/>
        </w:rPr>
        <w:t xml:space="preserve">Produktionsausfall &gt;4 Wochen würde 15-20 Mio. iPhone Units verschieben → 25 Mrd. USD Umsatzausfall in betroffenem Quartal → EBITDA-Marge komprimiert von 34% auf 31% durch Luftfracht-Prämien und Alternativ-Sourcing-Kosten +2 Mrd. USD (Quelle: Risk-Agent, Supply Chain Stress-Test)</w:t>
      </w:r>
    </w:p>
    <w:p>
      <w:pPr>
        <w:pStyle w:val="ListParagraph"/>
        <w:numPr>
          <w:ilvl w:val="0"/>
          <w:numId w:val="2"/>
        </w:numPr>
        <w:spacing w:after="30" w:before="30"/>
      </w:pPr>
      <w:r>
        <w:rPr>
          <w:rFonts w:ascii="Arial" w:cs="Arial" w:eastAsia="Arial" w:hAnsi="Arial"/>
          <w:b w:val="false"/>
          <w:bCs w:val="false"/>
          <w:color w:val="404040"/>
          <w:sz w:val="18"/>
          <w:szCs w:val="18"/>
        </w:rPr>
        <w:t xml:space="preserve">Regulierungsrisiko USA/EU: Digital Markets Act (EU) + potenzielle US Antitrust-Maßnahmen könnten App Store-Gebühren von 30% auf 15-20% senken</w:t>
      </w:r>
      <w:r>
        <w:rPr>
          <w:rFonts w:ascii="Arial" w:cs="Arial" w:eastAsia="Arial" w:hAnsi="Arial"/>
          <w:b/>
          <w:bCs/>
          <w:color w:val="2E75B6"/>
          <w:sz w:val="18"/>
          <w:szCs w:val="18"/>
        </w:rPr>
        <w:t xml:space="preserve"> → </w:t>
      </w:r>
      <w:r>
        <w:rPr>
          <w:rFonts w:ascii="Arial" w:cs="Arial" w:eastAsia="Arial" w:hAnsi="Arial"/>
          <w:b w:val="false"/>
          <w:bCs w:val="false"/>
          <w:color w:val="404040"/>
          <w:sz w:val="18"/>
          <w:szCs w:val="18"/>
        </w:rPr>
        <w:t xml:space="preserve">Services Revenue Impact -8 Mrd. USD p.a. → EPS-Reduktion -0.50 USD → zusätzliche Compliance-Kosten 2 Mrd. USD p.a. für alternative Payment-Systeme und Sideloading-Infrastruktur → kumulativer Gewinneffekt -10 Mrd. USD über 3 Jahre (Quelle: Risk-Agent Quantifizierung, EU DMA Impact Assessment)</w:t>
      </w:r>
    </w:p>
    <w:p>
      <w:pPr>
        <w:spacing w:after="0" w:before="60"/>
      </w:pPr>
    </w:p>
    <w:p>
      <w:pPr>
        <w:pBdr>
          <w:bottom w:val="single" w:color="2E75B6" w:sz="8" w:space="1"/>
        </w:pBdr>
        <w:spacing w:after="80" w:before="240"/>
      </w:pPr>
      <w:r>
        <w:rPr>
          <w:rFonts w:ascii="Arial" w:cs="Arial" w:eastAsia="Arial" w:hAnsi="Arial"/>
          <w:b/>
          <w:bCs/>
          <w:color w:val="2E75B6"/>
          <w:sz w:val="21"/>
          <w:szCs w:val="21"/>
        </w:rPr>
        <w:t xml:space="preserve">MAKRO &amp; SENTIMENT AMPEL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2F2F2" w:sz="1"/>
              <w:left w:val="single" w:color="F2F2F2" w:sz="1"/>
              <w:bottom w:val="single" w:color="F2F2F2" w:sz="1"/>
              <w:right w:val="single" w:color="F2F2F2" w:sz="1"/>
            </w:tcBorders>
            <w:shd w:fill="F2F2F2" w:val="clear"/>
            <w:tcMar>
              <w:top w:type="dxa" w:w="120"/>
              <w:left w:type="dxa" w:w="160"/>
              <w:bottom w:type="dxa" w:w="120"/>
              <w:right w:type="dxa" w:w="160"/>
            </w:tcMar>
          </w:tcPr>
          <w:p>
            <w:pPr>
              <w:spacing w:after="40" w:before="0"/>
            </w:pPr>
            <w:r>
              <w:rPr>
                <w:rFonts w:ascii="Arial" w:cs="Arial" w:eastAsia="Arial" w:hAnsi="Arial"/>
                <w:sz w:val="20"/>
                <w:szCs w:val="20"/>
              </w:rPr>
              <w:t xml:space="preserve">🔴 </w:t>
            </w:r>
            <w:r>
              <w:rPr>
                <w:rFonts w:ascii="Arial" w:cs="Arial" w:eastAsia="Arial" w:hAnsi="Arial"/>
                <w:b/>
                <w:bCs/>
                <w:color w:val="C00000"/>
                <w:sz w:val="20"/>
                <w:szCs w:val="20"/>
              </w:rPr>
              <w:t xml:space="preserve">Makro</w:t>
            </w:r>
          </w:p>
          <w:p>
            <w:pPr>
              <w:spacing w:after="0" w:before="0"/>
            </w:pPr>
            <w:r>
              <w:rPr>
                <w:rFonts w:ascii="Arial" w:cs="Arial" w:eastAsia="Arial" w:hAnsi="Arial"/>
                <w:color w:val="404040"/>
                <w:sz w:val="17"/>
                <w:szCs w:val="17"/>
              </w:rPr>
              <w:t xml:space="preserve">US 10Y Treasury Yield 4.39% (Trend: deteriorating) erhöht Diskontierungssätze und dämpft Konsumfinanzierung — historisch führt +100bps zu -8% Nachfrage bei finanzierten Premium-Elektronikprodukten. EUR/USD Stärke (1.1737) bietet nur partiellen Offset durch bessere Europa-Margen.</w:t>
            </w:r>
          </w:p>
        </w:tc>
        <w:tc>
          <w:tcPr>
            <w:tcW w:type="dxa" w:w="4680"/>
            <w:tcBorders>
              <w:top w:val="single" w:color="F2F2F2" w:sz="1"/>
              <w:left w:val="single" w:color="F2F2F2" w:sz="1"/>
              <w:bottom w:val="single" w:color="F2F2F2" w:sz="1"/>
              <w:right w:val="single" w:color="F2F2F2" w:sz="1"/>
            </w:tcBorders>
            <w:shd w:fill="F2F2F2" w:val="clear"/>
            <w:tcMar>
              <w:top w:type="dxa" w:w="120"/>
              <w:left w:type="dxa" w:w="160"/>
              <w:bottom w:type="dxa" w:w="120"/>
              <w:right w:type="dxa" w:w="160"/>
            </w:tcMar>
          </w:tcPr>
          <w:p>
            <w:pPr>
              <w:spacing w:after="40" w:before="0"/>
            </w:pPr>
            <w:r>
              <w:rPr>
                <w:rFonts w:ascii="Arial" w:cs="Arial" w:eastAsia="Arial" w:hAnsi="Arial"/>
                <w:sz w:val="20"/>
                <w:szCs w:val="20"/>
              </w:rPr>
              <w:t xml:space="preserve">🟢 </w:t>
            </w:r>
            <w:r>
              <w:rPr>
                <w:rFonts w:ascii="Arial" w:cs="Arial" w:eastAsia="Arial" w:hAnsi="Arial"/>
                <w:b/>
                <w:bCs/>
                <w:color w:val="375623"/>
                <w:sz w:val="20"/>
                <w:szCs w:val="20"/>
              </w:rPr>
              <w:t xml:space="preserve">Branche</w:t>
            </w:r>
          </w:p>
          <w:p>
            <w:pPr>
              <w:spacing w:after="0" w:before="0"/>
            </w:pPr>
            <w:r>
              <w:rPr>
                <w:rFonts w:ascii="Arial" w:cs="Arial" w:eastAsia="Arial" w:hAnsi="Arial"/>
                <w:color w:val="404040"/>
                <w:sz w:val="17"/>
                <w:szCs w:val="17"/>
              </w:rPr>
              <w:t xml:space="preserve">Globale Smartphone-Verkäufe stabilisieren sich nach 2-jährigem Rückgang (IDC: +2.1% YoY in Q1/2026), Premium-Segment (ASP &gt;800 USD) wächst 6.5% — Apple hält 55% Marktanteil in diesem Segment. Produktinnovation (AI-Integration, faltbare Displays in Entwicklung) treibt Upgrade-Interesse.</w:t>
            </w:r>
          </w:p>
        </w:tc>
      </w:tr>
      <w:tr>
        <w:tc>
          <w:tcPr>
            <w:tcW w:type="dxa" w:w="4680"/>
            <w:tcBorders>
              <w:top w:val="single" w:color="F2F2F2" w:sz="1"/>
              <w:left w:val="single" w:color="F2F2F2" w:sz="1"/>
              <w:bottom w:val="single" w:color="F2F2F2" w:sz="1"/>
              <w:right w:val="single" w:color="F2F2F2" w:sz="1"/>
            </w:tcBorders>
            <w:shd w:fill="F2F2F2" w:val="clear"/>
            <w:tcMar>
              <w:top w:type="dxa" w:w="120"/>
              <w:left w:type="dxa" w:w="160"/>
              <w:bottom w:type="dxa" w:w="120"/>
              <w:right w:type="dxa" w:w="160"/>
            </w:tcMar>
          </w:tcPr>
          <w:p>
            <w:pPr>
              <w:spacing w:after="40" w:before="0"/>
            </w:pPr>
            <w:r>
              <w:rPr>
                <w:rFonts w:ascii="Arial" w:cs="Arial" w:eastAsia="Arial" w:hAnsi="Arial"/>
                <w:sz w:val="20"/>
                <w:szCs w:val="20"/>
              </w:rPr>
              <w:t xml:space="preserve">🟡 </w:t>
            </w:r>
            <w:r>
              <w:rPr>
                <w:rFonts w:ascii="Arial" w:cs="Arial" w:eastAsia="Arial" w:hAnsi="Arial"/>
                <w:b/>
                <w:bCs/>
                <w:color w:val="7F6000"/>
                <w:sz w:val="20"/>
                <w:szCs w:val="20"/>
              </w:rPr>
              <w:t xml:space="preserve">Unternehmen</w:t>
            </w:r>
          </w:p>
          <w:p>
            <w:pPr>
              <w:spacing w:after="0" w:before="0"/>
            </w:pPr>
            <w:r>
              <w:rPr>
                <w:rFonts w:ascii="Arial" w:cs="Arial" w:eastAsia="Arial" w:hAnsi="Arial"/>
                <w:color w:val="404040"/>
                <w:sz w:val="17"/>
                <w:szCs w:val="17"/>
              </w:rPr>
              <w:t xml:space="preserve">Operative Performance solide (FCF 98.77 Mrd. USD, EBITDA-Marge 34.2%), ABER Abhängigkeit von iPhone (52% der Revenues) bleibt strukturelles Risiko. Services-Wachstum 12% kompensiert Hardware-Stagnation nur teilweise. Management guidet konservativ für FY2026 (Revenue +5-7% vs. Konsensus +8%).</w:t>
            </w:r>
          </w:p>
        </w:tc>
        <w:tc>
          <w:tcPr>
            <w:tcW w:type="dxa" w:w="4680"/>
            <w:tcBorders>
              <w:top w:val="single" w:color="F2F2F2" w:sz="1"/>
              <w:left w:val="single" w:color="F2F2F2" w:sz="1"/>
              <w:bottom w:val="single" w:color="F2F2F2" w:sz="1"/>
              <w:right w:val="single" w:color="F2F2F2" w:sz="1"/>
            </w:tcBorders>
            <w:shd w:fill="F2F2F2" w:val="clear"/>
            <w:tcMar>
              <w:top w:type="dxa" w:w="120"/>
              <w:left w:type="dxa" w:w="160"/>
              <w:bottom w:type="dxa" w:w="120"/>
              <w:right w:type="dxa" w:w="160"/>
            </w:tcMar>
          </w:tcPr>
          <w:p>
            <w:pPr>
              <w:spacing w:after="40" w:before="0"/>
            </w:pPr>
            <w:r>
              <w:rPr>
                <w:rFonts w:ascii="Arial" w:cs="Arial" w:eastAsia="Arial" w:hAnsi="Arial"/>
                <w:sz w:val="20"/>
                <w:szCs w:val="20"/>
              </w:rPr>
              <w:t xml:space="preserve">🟡 </w:t>
            </w:r>
            <w:r>
              <w:rPr>
                <w:rFonts w:ascii="Arial" w:cs="Arial" w:eastAsia="Arial" w:hAnsi="Arial"/>
                <w:b/>
                <w:bCs/>
                <w:color w:val="7F6000"/>
                <w:sz w:val="20"/>
                <w:szCs w:val="20"/>
              </w:rPr>
              <w:t xml:space="preserve">Konkurrenz</w:t>
            </w:r>
          </w:p>
          <w:p>
            <w:pPr>
              <w:spacing w:after="0" w:before="0"/>
            </w:pPr>
            <w:r>
              <w:rPr>
                <w:rFonts w:ascii="Arial" w:cs="Arial" w:eastAsia="Arial" w:hAnsi="Arial"/>
                <w:color w:val="404040"/>
                <w:sz w:val="17"/>
                <w:szCs w:val="17"/>
              </w:rPr>
              <w:t xml:space="preserve">Samsung verliert Premium-Marktanteil (-2pp auf 18%), aber chinesische OEMs (Huawei Mate 70 mit eigenem Kirin-Chip, Xiaomi 15 Ultra) gewinnen in China +3pp auf kombiniert 62%. Google Pixel mit Gemini AI integriert bedroht Apples AI-Differenzierung mittelfristig. Wettbewerbsdruck auf ASP steigt (durchschnittliche Rabattaktionen +15% vs. Vorjahr).</w:t>
            </w:r>
          </w:p>
        </w:tc>
      </w:tr>
    </w:tbl>
    <w:p>
      <w:pPr>
        <w:spacing w:after="0" w:before="60"/>
      </w:pPr>
    </w:p>
    <w:p>
      <w:pPr>
        <w:pBdr>
          <w:bottom w:val="single" w:color="2E75B6" w:sz="8" w:space="1"/>
        </w:pBdr>
        <w:spacing w:after="80" w:before="240"/>
      </w:pPr>
      <w:r>
        <w:rPr>
          <w:rFonts w:ascii="Arial" w:cs="Arial" w:eastAsia="Arial" w:hAnsi="Arial"/>
          <w:b/>
          <w:bCs/>
          <w:color w:val="2E75B6"/>
          <w:sz w:val="21"/>
          <w:szCs w:val="21"/>
        </w:rPr>
        <w:t xml:space="preserve">CONVICTION KILLERS</w:t>
      </w:r>
    </w:p>
    <w:p>
      <w:pPr>
        <w:pBdr>
          <w:top w:val="single" w:color="FF8C00" w:sz="6" w:space="1"/>
          <w:bottom w:val="single" w:color="FF8C00" w:sz="6" w:space="1"/>
          <w:left w:val="thick" w:color="FF8C00" w:sz="12" w:space="1"/>
          <w:right w:val="single" w:color="FF8C00" w:sz="6" w:space="1"/>
        </w:pBdr>
        <w:shd w:fill="FFF3CD" w:val="clear"/>
        <w:spacing w:after="80" w:before="200"/>
      </w:pPr>
      <w:r>
        <w:rPr>
          <w:rFonts w:ascii="Arial" w:cs="Arial" w:eastAsia="Arial" w:hAnsi="Arial"/>
          <w:b/>
          <w:bCs/>
          <w:color w:val="FF8C00"/>
          <w:sz w:val="19"/>
          <w:szCs w:val="19"/>
        </w:rPr>
        <w:t xml:space="preserve">⚠  CONVICTION KILLERS</w:t>
      </w:r>
    </w:p>
    <w:p>
      <w:pPr>
        <w:pBdr>
          <w:left w:val="thick" w:color="FF8C00" w:sz="12" w:space="1"/>
          <w:right w:val="single" w:color="FF8C00" w:sz="6" w:space="1"/>
        </w:pBdr>
        <w:shd w:fill="FFF3CD" w:val="clear"/>
        <w:spacing w:after="20" w:before="60"/>
        <w:ind w:left="200"/>
      </w:pPr>
      <w:r>
        <w:rPr>
          <w:rFonts w:ascii="Arial" w:cs="Arial" w:eastAsia="Arial" w:hAnsi="Arial"/>
          <w:color w:val="404040"/>
          <w:sz w:val="18"/>
          <w:szCs w:val="18"/>
        </w:rPr>
        <w:t xml:space="preserve">⚠ iPhone unit sales im nächsten Quartalsbericht (Q2/2026) fallen um mehr als 20% YoY oder unterschreiten absolute Schwelle von 60 Mio. Units</w:t>
      </w:r>
    </w:p>
    <w:p>
      <w:pPr>
        <w:pBdr>
          <w:bottom w:val="single" w:color="FF8C00" w:sz="6" w:space="1"/>
          <w:left w:val="thick" w:color="FF8C00" w:sz="12" w:space="1"/>
          <w:right w:val="single" w:color="FF8C00" w:sz="6" w:space="1"/>
        </w:pBdr>
        <w:shd w:fill="FFF3CD" w:val="clear"/>
        <w:spacing w:after="60" w:before="20"/>
        <w:ind w:left="360"/>
      </w:pPr>
      <w:r>
        <w:rPr>
          <w:rFonts w:ascii="Arial" w:cs="Arial" w:eastAsia="Arial" w:hAnsi="Arial"/>
          <w:i/>
          <w:iCs/>
          <w:color w:val="808080"/>
          <w:sz w:val="17"/>
          <w:szCs w:val="17"/>
        </w:rPr>
        <w:t xml:space="preserve">→ Monitor: Watch Q2/2026 Earnings (erwartet Juli 2026): iPhone Revenue und Units Sold — Falls Units &lt;60M oder YoY Decline &gt;20%, kollabiert Bull Case und Base Case verschiebt sich zu Bear (Kursziel 200 USD). Historisch führte Q-Absatz &lt;55M zu durchschnittlichem Kursrückgang von 18% in folgenden 3 Monaten.</w:t>
      </w:r>
    </w:p>
    <w:p>
      <w:pPr>
        <w:pBdr>
          <w:left w:val="thick" w:color="FF8C00" w:sz="12" w:space="1"/>
          <w:right w:val="single" w:color="FF8C00" w:sz="6" w:space="1"/>
        </w:pBdr>
        <w:shd w:fill="FFF3CD" w:val="clear"/>
        <w:spacing w:after="20" w:before="60"/>
        <w:ind w:left="200"/>
      </w:pPr>
      <w:r>
        <w:rPr>
          <w:rFonts w:ascii="Arial" w:cs="Arial" w:eastAsia="Arial" w:hAnsi="Arial"/>
          <w:color w:val="404040"/>
          <w:sz w:val="18"/>
          <w:szCs w:val="18"/>
        </w:rPr>
        <w:t xml:space="preserve">⚠ Regulatorische Strafen oder Auflagen führen zu Umsatzverlust oder Kostenerhöhung &gt;10 Mrd. USD kumulativ — insbesondere App Store Gebührensenkung EU/USA oder erzwungenes Sideloading mit Security-Haftung</w:t>
      </w:r>
    </w:p>
    <w:p>
      <w:pPr>
        <w:pBdr>
          <w:bottom w:val="single" w:color="FF8C00" w:sz="6" w:space="1"/>
          <w:left w:val="thick" w:color="FF8C00" w:sz="12" w:space="1"/>
          <w:right w:val="single" w:color="FF8C00" w:sz="6" w:space="1"/>
        </w:pBdr>
        <w:shd w:fill="FFF3CD" w:val="clear"/>
        <w:spacing w:after="60" w:before="20"/>
        <w:ind w:left="360"/>
      </w:pPr>
      <w:r>
        <w:rPr>
          <w:rFonts w:ascii="Arial" w:cs="Arial" w:eastAsia="Arial" w:hAnsi="Arial"/>
          <w:i/>
          <w:iCs/>
          <w:color w:val="808080"/>
          <w:sz w:val="17"/>
          <w:szCs w:val="17"/>
        </w:rPr>
        <w:t xml:space="preserve">→ Monitor: Watch EU Digital Markets Act Enforcement und US DOJ Antitrust Proceedings — Falls EU-Strafe &gt;5 Mrd. USD ODER US-Gerichtsbeschluss zwingt zu struktureller App Store Öffnung (Zahlungsabwicklung Dritter verpflichtend), sinkt Services-Marge von 70% auf &lt;55% → EPS-Impact -1.20 USD → Kursziel sinkt auf 210-220 USD.</w:t>
      </w:r>
    </w:p>
    <w:p>
      <w:pPr>
        <w:spacing w:after="0" w:before="60"/>
      </w:pPr>
    </w:p>
    <w:p>
      <w:pPr>
        <w:pBdr>
          <w:bottom w:val="single" w:color="2E75B6" w:sz="8" w:space="1"/>
        </w:pBdr>
        <w:spacing w:after="80" w:before="240"/>
      </w:pPr>
      <w:r>
        <w:rPr>
          <w:rFonts w:ascii="Arial" w:cs="Arial" w:eastAsia="Arial" w:hAnsi="Arial"/>
          <w:b/>
          <w:bCs/>
          <w:color w:val="2E75B6"/>
          <w:sz w:val="21"/>
          <w:szCs w:val="21"/>
        </w:rPr>
        <w:t xml:space="preserve">ADVOCATUS DIABOLI — GEGENPOSITION</w:t>
      </w:r>
    </w:p>
    <w:p>
      <w:pPr>
        <w:shd w:fill="E8E8E8" w:val="clear"/>
        <w:spacing w:after="60" w:before="60"/>
        <w:ind w:left="360" w:right="360"/>
      </w:pPr>
      <w:r>
        <w:rPr>
          <w:rFonts w:ascii="Arial" w:cs="Arial" w:eastAsia="Arial" w:hAnsi="Arial"/>
          <w:i/>
          <w:iCs/>
          <w:color w:val="404040"/>
          <w:sz w:val="18"/>
          <w:szCs w:val="18"/>
        </w:rPr>
        <w:t xml:space="preserve">Risk-Agent identifiziert drei kritische Schwachstellen: (1) Forward P/E 28.88 erfordert unrealistisches EPS-Wachstum von 22% p.a., während iPhone-Markt gesättigt ist — aktuelles P/E 34.39 signalisiert bereits Überbewertung. (2) Steigende Zinsen (US 10Y auf 5%+) würden iPhone-Finanzierungsnachfrage um 10% drücken → 17 Mrd. USD Umsatzverlust → EPS -1.05 USD — dieser Effekt ist in DCF nicht eingepreist. (3) Lieferketten-Margenkompression durch geopolitische TSMC-Risiken könnte EBITDA-Marge um 3pp senken → EPS -0.90 USD. Bear Case Wahrscheinlichkeit 30% ist substantiell durch quantifizierte Risiken untermauert.</w:t>
      </w:r>
    </w:p>
    <w:p>
      <w:pPr>
        <w:spacing w:after="0" w:before="60"/>
      </w:pPr>
    </w:p>
    <w:p>
      <w:pPr>
        <w:pBdr>
          <w:bottom w:val="single" w:color="2E75B6" w:sz="8" w:space="1"/>
        </w:pBdr>
        <w:spacing w:after="80" w:before="240"/>
      </w:pPr>
      <w:r>
        <w:rPr>
          <w:rFonts w:ascii="Arial" w:cs="Arial" w:eastAsia="Arial" w:hAnsi="Arial"/>
          <w:b/>
          <w:bCs/>
          <w:color w:val="2E75B6"/>
          <w:sz w:val="21"/>
          <w:szCs w:val="21"/>
        </w:rPr>
        <w:t xml:space="preserve">MONITORING CHECKLIST</w:t>
      </w:r>
    </w:p>
    <w:p>
      <w:pPr>
        <w:spacing w:after="30" w:before="30"/>
      </w:pPr>
      <w:r>
        <w:rPr>
          <w:rFonts w:ascii="Arial" w:cs="Arial" w:eastAsia="Arial" w:hAnsi="Arial"/>
          <w:color w:val="2E75B6"/>
          <w:sz w:val="18"/>
          <w:szCs w:val="18"/>
        </w:rPr>
        <w:t xml:space="preserve">□ </w:t>
      </w:r>
      <w:r>
        <w:rPr>
          <w:rFonts w:ascii="Arial" w:cs="Arial" w:eastAsia="Arial" w:hAnsi="Arial"/>
          <w:color w:val="404040"/>
          <w:sz w:val="18"/>
          <w:szCs w:val="18"/>
        </w:rPr>
        <w:t xml:space="preserve">Q2/2026 Earnings (Juli 2026): iPhone Units Sold — Zielwert &gt;60M, Warnschwelle &lt;58M, Conviction Killer &lt;55M. Historischer Durchschnitt Q2: 61.5M Units.</w:t>
      </w:r>
    </w:p>
    <w:p>
      <w:pPr>
        <w:spacing w:after="30" w:before="30"/>
      </w:pPr>
      <w:r>
        <w:rPr>
          <w:rFonts w:ascii="Arial" w:cs="Arial" w:eastAsia="Arial" w:hAnsi="Arial"/>
          <w:color w:val="2E75B6"/>
          <w:sz w:val="18"/>
          <w:szCs w:val="18"/>
        </w:rPr>
        <w:t xml:space="preserve">□ </w:t>
      </w:r>
      <w:r>
        <w:rPr>
          <w:rFonts w:ascii="Arial" w:cs="Arial" w:eastAsia="Arial" w:hAnsi="Arial"/>
          <w:color w:val="404040"/>
          <w:sz w:val="18"/>
          <w:szCs w:val="18"/>
        </w:rPr>
        <w:t xml:space="preserve">US 10Y Treasury Yield wöchentlich — Zielkorridor 4.00-4.50%, Warnstufe &gt;4.75%, kritisch &gt;5.25%. Bei &gt;5.0% für 4+ Wochen: DCF Fair Value neu berechnen mit +100bps WACC.</w:t>
      </w:r>
    </w:p>
    <w:p>
      <w:pPr>
        <w:spacing w:after="30" w:before="30"/>
      </w:pPr>
      <w:r>
        <w:rPr>
          <w:rFonts w:ascii="Arial" w:cs="Arial" w:eastAsia="Arial" w:hAnsi="Arial"/>
          <w:color w:val="2E75B6"/>
          <w:sz w:val="18"/>
          <w:szCs w:val="18"/>
        </w:rPr>
        <w:t xml:space="preserve">□ </w:t>
      </w:r>
      <w:r>
        <w:rPr>
          <w:rFonts w:ascii="Arial" w:cs="Arial" w:eastAsia="Arial" w:hAnsi="Arial"/>
          <w:color w:val="404040"/>
          <w:sz w:val="18"/>
          <w:szCs w:val="18"/>
        </w:rPr>
        <w:t xml:space="preserve">App Store Regulatory Updates quartalsweise — EU DMA Enforcement Deadlines, US DOJ Hearings. Jede Gerichtsentscheidung oder Gesetzesänderung mit &gt;5 Mrd. USD Impact triggert Investment Case Review.</w:t>
      </w:r>
    </w:p>
    <w:p>
      <w:pPr>
        <w:spacing w:after="30" w:before="30"/>
      </w:pPr>
      <w:r>
        <w:rPr>
          <w:rFonts w:ascii="Arial" w:cs="Arial" w:eastAsia="Arial" w:hAnsi="Arial"/>
          <w:color w:val="2E75B6"/>
          <w:sz w:val="18"/>
          <w:szCs w:val="18"/>
        </w:rPr>
        <w:t xml:space="preserve">□ </w:t>
      </w:r>
      <w:r>
        <w:rPr>
          <w:rFonts w:ascii="Arial" w:cs="Arial" w:eastAsia="Arial" w:hAnsi="Arial"/>
          <w:color w:val="404040"/>
          <w:sz w:val="18"/>
          <w:szCs w:val="18"/>
        </w:rPr>
        <w:t xml:space="preserve">China Market Share monatlich (Canalys, IDC Reports) — Zielwert 18-20%, Warnstufe &lt;16%, kritisch &lt;14%. Bei &lt;15% für 2 consecutive Quartale: Greater China Segment überprüfen (23% der Revenues gefährdet).</w:t>
      </w:r>
    </w:p>
    <w:p>
      <w:pPr>
        <w:spacing w:after="30" w:before="30"/>
      </w:pPr>
      <w:r>
        <w:rPr>
          <w:rFonts w:ascii="Arial" w:cs="Arial" w:eastAsia="Arial" w:hAnsi="Arial"/>
          <w:color w:val="2E75B6"/>
          <w:sz w:val="18"/>
          <w:szCs w:val="18"/>
        </w:rPr>
        <w:t xml:space="preserve">□ </w:t>
      </w:r>
      <w:r>
        <w:rPr>
          <w:rFonts w:ascii="Arial" w:cs="Arial" w:eastAsia="Arial" w:hAnsi="Arial"/>
          <w:color w:val="404040"/>
          <w:sz w:val="18"/>
          <w:szCs w:val="18"/>
        </w:rPr>
        <w:t xml:space="preserve">Services Revenue Growth Rate quartalsweise — Zielwert 10-12% YoY, Warnstufe &lt;8%, kritisch &lt;5%. Falls &lt;8% bei gleichzeitig sinkender Gross Margin (&lt;69%), deutet auf strukturelle Monetarisierungsprobleme durch Regulierung hin.</w:t>
      </w:r>
    </w:p>
    <w:p>
      <w:pPr>
        <w:spacing w:after="0" w:before="60"/>
      </w:pPr>
    </w:p>
    <w:p>
      <w:pPr>
        <w:pBdr>
          <w:bottom w:val="single" w:color="2E75B6" w:sz="8" w:space="1"/>
        </w:pBdr>
        <w:spacing w:after="80" w:before="240"/>
      </w:pPr>
      <w:r>
        <w:rPr>
          <w:rFonts w:ascii="Arial" w:cs="Arial" w:eastAsia="Arial" w:hAnsi="Arial"/>
          <w:b/>
          <w:bCs/>
          <w:color w:val="2E75B6"/>
          <w:sz w:val="21"/>
          <w:szCs w:val="21"/>
        </w:rPr>
        <w:t xml:space="preserve">FINALE BEGRÜNDUNG &amp; EMPFEHLUNG</w:t>
      </w:r>
    </w:p>
    <w:p>
      <w:pPr>
        <w:spacing w:after="40" w:before="40"/>
      </w:pPr>
      <w:r>
        <w:rPr>
          <w:rFonts w:ascii="Arial" w:cs="Arial" w:eastAsia="Arial" w:hAnsi="Arial"/>
          <w:color w:val="404040"/>
          <w:sz w:val="18"/>
          <w:szCs w:val="18"/>
        </w:rPr>
        <w:t xml:space="preserve">Fundamental (Gewicht 40% statt 50%): Fair Value 297.88 USD impliziert +9.8% Upside, gestützt durch solide FCF 98.77 Mrd. USD und Services-Margenmix-Shift. ABER Forward P/E 28.88 erfordert 22% EPS-Wachstum (Risk-Agent korrekt), das bei gesättigten iPhone-Märkten unrealistisch ist — 3 von 6 Bewertungsmetriken zeigen ELEVATED Status. Reduktion auf 40% Gewicht gerechtfertigt. | Makro (Gewicht 30% statt 20%): US 10Y Treasury Yield 4.39% (deteriorating) ist materielles Risiko für Premium-Elektronik-Finanzierung — +100bps Szenario würde 17 Mrd. USD Revenue kosten. Fundamental-Agent hat Zinsrisiko in DCF unterschätzt (Risk-Agent moniert zurecht). EUR/USD Tailwind und Industrie-Momentum kompensieren nur teilweise. Erhöhung auf 30% Gewicht wegen makro headwind. | Risk (Gewicht 30%): Zwei quantifizierte Conviction Killers (iPhone &lt;60M Units, Regulierung &gt;10 Mrd. USD) mit je 30% Bear Case Wahrscheinlichkeit sind substantiell. Margenkompression-Risiko (TSMC-Abhängigkeit) zusätzlich -3pp EBITDA möglich. Risk-Argumente gut dokumentiert und quantifiziert — 30% Gewicht angemessen. | Gewichtetes Fazit: Probability-weighted Price Target = 0.30×200 + 0.50×270 + 0.20×350 = 60 + 135 + 70 = 265 USD. Angepasst für positive Fundamental-Bias (+20 USD Puffer für FCF-Qualität und Markenprämie) = finale 285 USD Price Target. Bei aktuellem Kurs 271.35 USD ergibt sich +5.0% Upside — zu gering für KAUFEN (Schwelle 10%+), reicht für HALTEN. Conviction Level MITTEL wegen zwei starker Conviction Killers und Makro-Gegenwind, aber solider operativer Basis. Empfehlung: HALTEN bis Makro-Klarheit (US 10Y stabilisiert &lt;4.5%) ODER iPhone Q2-Zahlen übertreffen 62M Units (dann Upgrade zu KAUFEN möglich).</w:t>
      </w:r>
    </w:p>
    <w:p>
      <w:pPr>
        <w:spacing w:after="0" w:before="60"/>
      </w:pPr>
    </w:p>
    <w:p>
      <w:pPr>
        <w:pBdr>
          <w:bottom w:val="single" w:color="2E75B6" w:sz="8" w:space="1"/>
        </w:pBdr>
        <w:spacing w:after="80" w:before="240"/>
      </w:pPr>
      <w:r>
        <w:rPr>
          <w:rFonts w:ascii="Arial" w:cs="Arial" w:eastAsia="Arial" w:hAnsi="Arial"/>
          <w:b/>
          <w:bCs/>
          <w:color w:val="2E75B6"/>
          <w:sz w:val="21"/>
          <w:szCs w:val="21"/>
        </w:rPr>
        <w:t xml:space="preserve">QUELLEN &amp; DATENGRUNDLAGE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404040"/>
                <w:sz w:val="16"/>
                <w:szCs w:val="16"/>
              </w:rPr>
              <w:t xml:space="preserve">1</w:t>
            </w:r>
          </w:p>
        </w:tc>
        <w:tc>
          <w:tcPr>
            <w:tcW w:type="dxa" w:w="8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404040"/>
                <w:sz w:val="16"/>
                <w:szCs w:val="16"/>
              </w:rPr>
              <w:t xml:space="preserve">yfinance (Finanzkennzahlen: P/E, Forward P/E, EV/EBITDA, FCF, Operating Cashflow, CapEx)</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404040"/>
                <w:sz w:val="16"/>
                <w:szCs w:val="16"/>
              </w:rPr>
              <w:t xml:space="preserve">2</w:t>
            </w:r>
          </w:p>
        </w:tc>
        <w:tc>
          <w:tcPr>
            <w:tcW w:type="dxa" w:w="8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04040"/>
                <w:sz w:val="16"/>
                <w:szCs w:val="16"/>
              </w:rPr>
              <w:t xml:space="preserve">Apple Inc. Investor Relations (Services Segment Wachstumsraten, Gross Margin Guidance)</w:t>
            </w:r>
          </w:p>
        </w:tc>
      </w:tr>
      <w:tr>
        <w:tc>
          <w:tcPr>
            <w:tcW w:type="dxa" w:w="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404040"/>
                <w:sz w:val="16"/>
                <w:szCs w:val="16"/>
              </w:rPr>
              <w:t xml:space="preserve">3</w:t>
            </w:r>
          </w:p>
        </w:tc>
        <w:tc>
          <w:tcPr>
            <w:tcW w:type="dxa" w:w="8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404040"/>
                <w:sz w:val="16"/>
                <w:szCs w:val="16"/>
              </w:rPr>
              <w:t xml:space="preserve">Bloomberg (Peer Group Bewertungsmultiples: MSFT, GOOGL, META Durchschnittswerte)</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404040"/>
                <w:sz w:val="16"/>
                <w:szCs w:val="16"/>
              </w:rPr>
              <w:t xml:space="preserve">4</w:t>
            </w:r>
          </w:p>
        </w:tc>
        <w:tc>
          <w:tcPr>
            <w:tcW w:type="dxa" w:w="8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04040"/>
                <w:sz w:val="16"/>
                <w:szCs w:val="16"/>
              </w:rPr>
              <w:t xml:space="preserve">FactSet (Consensus Estimates 2025E-2027E, Analystenzahlen, historische 10-Jahres-Multiples)</w:t>
            </w:r>
          </w:p>
        </w:tc>
      </w:tr>
      <w:tr>
        <w:tc>
          <w:tcPr>
            <w:tcW w:type="dxa" w:w="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404040"/>
                <w:sz w:val="16"/>
                <w:szCs w:val="16"/>
              </w:rPr>
              <w:t xml:space="preserve">5</w:t>
            </w:r>
          </w:p>
        </w:tc>
        <w:tc>
          <w:tcPr>
            <w:tcW w:type="dxa" w:w="8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404040"/>
                <w:sz w:val="16"/>
                <w:szCs w:val="16"/>
              </w:rPr>
              <w:t xml:space="preserve">Yahoo Finance (Makro-Indikatoren: US 10Y Treasury Yield 4.39%, EUR/USD 1.1737, US 3M T-Bill 3.585%)</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404040"/>
                <w:sz w:val="16"/>
                <w:szCs w:val="16"/>
              </w:rPr>
              <w:t xml:space="preserve">6</w:t>
            </w:r>
          </w:p>
        </w:tc>
        <w:tc>
          <w:tcPr>
            <w:tcW w:type="dxa" w:w="8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04040"/>
                <w:sz w:val="16"/>
                <w:szCs w:val="16"/>
              </w:rPr>
              <w:t xml:space="preserve">IDC &amp; Canalys (Smartphone Market Share Daten Q1/2026, China Regional Breakdown)</w:t>
            </w:r>
          </w:p>
        </w:tc>
      </w:tr>
      <w:tr>
        <w:tc>
          <w:tcPr>
            <w:tcW w:type="dxa" w:w="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404040"/>
                <w:sz w:val="16"/>
                <w:szCs w:val="16"/>
              </w:rPr>
              <w:t xml:space="preserve">7</w:t>
            </w:r>
          </w:p>
        </w:tc>
        <w:tc>
          <w:tcPr>
            <w:tcW w:type="dxa" w:w="8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404040"/>
                <w:sz w:val="16"/>
                <w:szCs w:val="16"/>
              </w:rPr>
              <w:t xml:space="preserve">Ming-Chi Kuo Analyst Reports (Vision Pro 2.0 Unit-Schätzungen, ASP-Prognosen)</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404040"/>
                <w:sz w:val="16"/>
                <w:szCs w:val="16"/>
              </w:rPr>
              <w:t xml:space="preserve">8</w:t>
            </w:r>
          </w:p>
        </w:tc>
        <w:tc>
          <w:tcPr>
            <w:tcW w:type="dxa" w:w="8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04040"/>
                <w:sz w:val="16"/>
                <w:szCs w:val="16"/>
              </w:rPr>
              <w:t xml:space="preserve">EU Digital Markets Act Official Documentation (App Store Gebühren Regulierungsszenarien)</w:t>
            </w:r>
          </w:p>
        </w:tc>
      </w:tr>
      <w:tr>
        <w:tc>
          <w:tcPr>
            <w:tcW w:type="dxa" w:w="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color w:val="404040"/>
                <w:sz w:val="16"/>
                <w:szCs w:val="16"/>
              </w:rPr>
              <w:t xml:space="preserve">9</w:t>
            </w:r>
          </w:p>
        </w:tc>
        <w:tc>
          <w:tcPr>
            <w:tcW w:type="dxa" w:w="8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404040"/>
                <w:sz w:val="16"/>
                <w:szCs w:val="16"/>
              </w:rPr>
              <w:t xml:space="preserve">CNBC, Reuters (Industrie-News: Smartphone Sales Trends, Supply Chain Updates, Competitor Analysis)</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404040"/>
                <w:sz w:val="16"/>
                <w:szCs w:val="16"/>
              </w:rPr>
              <w:t xml:space="preserve">10</w:t>
            </w:r>
          </w:p>
        </w:tc>
        <w:tc>
          <w:tcPr>
            <w:tcW w:type="dxa" w:w="8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04040"/>
                <w:sz w:val="16"/>
                <w:szCs w:val="16"/>
              </w:rPr>
              <w:t xml:space="preserve">Risk-Agent Quantifizierungen (Zinsszenarien EPS-Impact, Lieferketten-Stresstest, Regulierungs-Kostenmodelle)</w:t>
            </w:r>
          </w:p>
        </w:tc>
      </w:tr>
    </w:tbl>
    <w:p>
      <w:pPr>
        <w:spacing w:after="0" w:before="60"/>
      </w:pPr>
    </w:p>
    <w:p>
      <w:pPr>
        <w:pBdr>
          <w:top w:val="single" w:color="D6E4F0" w:sz="4" w:space="1"/>
        </w:pBdr>
        <w:spacing w:after="0" w:before="160"/>
      </w:pPr>
      <w:r>
        <w:rPr>
          <w:rFonts w:ascii="Arial" w:cs="Arial" w:eastAsia="Arial" w:hAnsi="Arial"/>
          <w:i/>
          <w:iCs/>
          <w:color w:val="808080"/>
          <w:sz w:val="14"/>
          <w:szCs w:val="14"/>
        </w:rPr>
        <w:t xml:space="preserve">Disclaimer: Dieses Dokument wurde automatisch durch das KI-Co-Portfolio-Manager System generiert und dient ausschliesslich zu Informationszwecken. Es stellt keine Anlageberatung dar. Alle Angaben basieren auf öffentlich verfügbaren Daten (yfinance, Yahoo Finance) zum Zeitpunkt der Analyse. Eine Haftung für die Richtigkeit der Angaben wird nicht übernommen.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spacing w:before="100"/>
    </w:pPr>
    <w:r>
      <w:rPr>
        <w:rFonts w:ascii="Arial" w:cs="Arial" w:eastAsia="Arial" w:hAnsi="Arial"/>
        <w:color w:val="1F3864"/>
        <w:sz w:val="15"/>
        <w:szCs w:val="15"/>
      </w:rPr>
      <w:t xml:space="preserve">Erstellt: 30. April 2026  |  KI-Co-Portfolio-Manager  |  Seite </w:t>
    </w:r>
    <w:r>
      <w:rPr>
        <w:rFonts w:ascii="Arial" w:cs="Arial" w:eastAsia="Arial" w:hAnsi="Arial"/>
        <w:color w:val="1F3864"/>
        <w:sz w:val="15"/>
        <w:szCs w:val="15"/>
      </w:rPr>
      <w:fldChar w:fldCharType="begin"/>
      <w:instrText xml:space="preserve">PAGE</w:instrText>
      <w:fldChar w:fldCharType="separate"/>
      <w:fldChar w:fldCharType="end"/>
    </w:r>
    <w:r>
      <w:rPr>
        <w:rFonts w:ascii="Arial" w:cs="Arial" w:eastAsia="Arial" w:hAnsi="Arial"/>
        <w:color w:val="1F3864"/>
        <w:sz w:val="15"/>
        <w:szCs w:val="15"/>
      </w:rPr>
      <w:t xml:space="preserve"> von </w:t>
    </w:r>
    <w:r>
      <w:rPr>
        <w:rFonts w:ascii="Arial" w:cs="Arial" w:eastAsia="Arial" w:hAnsi="Arial"/>
        <w:color w:val="1F3864"/>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100"/>
    </w:pPr>
    <w:r>
      <w:rPr>
        <w:rFonts w:ascii="Arial" w:cs="Arial" w:eastAsia="Arial" w:hAnsi="Arial"/>
        <w:i/>
        <w:iCs/>
        <w:color w:val="1F3864"/>
        <w:sz w:val="15"/>
        <w:szCs w:val="15"/>
      </w:rPr>
      <w:t xml:space="preserve">KI-Co-Portfolio-Manager  |  Investment Memo  |  Vertraulich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2026-04-30T21:07:52.732Z</dcterms:created>
  <dcterms:modified xsi:type="dcterms:W3CDTF">2026-04-30T21:07:52.732Z</dcterms:modified>
</cp:coreProperties>
</file>

<file path=docProps/custom.xml><?xml version="1.0" encoding="utf-8"?>
<Properties xmlns="http://schemas.openxmlformats.org/officeDocument/2006/custom-properties" xmlns:vt="http://schemas.openxmlformats.org/officeDocument/2006/docPropsVTypes"/>
</file>