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572"/>
      </w:tblGrid>
      <w:tr>
        <w:tc>
          <w:tcPr>
            <w:tcW w:type="dxa" w:w="6200"/>
            <w:gridSpan w:val="1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Compagnie Financière Richemont SA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BEC5"/>
                <w:sz w:val="14"/>
                <w:szCs w:val="14"/>
              </w:rPr>
              <w:t xml:space="preserve">CFR.SW  ·  Consumer Cyclical  ·  2026-05-20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8909C"/>
                <w:sz w:val="12"/>
                <w:szCs w:val="12"/>
              </w:rPr>
              <w:t xml:space="preserve">KI-Co-Analyst  ·  BFH Bachelor Thesis 2025/26  ·  Luca Lüdi</w:t>
            </w:r>
          </w:p>
        </w:tc>
        <w:tc>
          <w:tcPr>
            <w:tcW w:type="dxa" w:w="4572"/>
            <w:gridSpan w:val="1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BEC5"/>
                <w:sz w:val="13"/>
                <w:szCs w:val="13"/>
              </w:rPr>
              <w:t xml:space="preserve">Empfehlung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6"/>
                <w:szCs w:val="26"/>
              </w:rPr>
              <w:t xml:space="preserve">HALTEN</w:t>
            </w:r>
          </w:p>
        </w:tc>
      </w:tr>
    </w:tbl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2"/>
                <w:szCs w:val="12"/>
              </w:rPr>
              <w:t xml:space="preserve">Aktueller Kurs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CHF 154.1</w:t>
            </w:r>
          </w:p>
        </w:tc>
        <w:tc>
          <w:tcPr>
            <w:tcW w:type="dxa" w:w="215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2"/>
                <w:szCs w:val="12"/>
              </w:rPr>
              <w:t xml:space="preserve">Kursziel (12M)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CHF 150</w:t>
            </w:r>
          </w:p>
        </w:tc>
        <w:tc>
          <w:tcPr>
            <w:tcW w:type="dxa" w:w="215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2"/>
                <w:szCs w:val="12"/>
              </w:rPr>
              <w:t xml:space="preserve">Upside / Downside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9"/>
                <w:szCs w:val="19"/>
              </w:rPr>
              <w:t xml:space="preserve">-2.66%</w:t>
            </w:r>
          </w:p>
        </w:tc>
        <w:tc>
          <w:tcPr>
            <w:tcW w:type="dxa" w:w="215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2"/>
                <w:szCs w:val="12"/>
              </w:rPr>
              <w:t xml:space="preserve">Marktkapitalisierung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n/v</w:t>
            </w:r>
          </w:p>
        </w:tc>
        <w:tc>
          <w:tcPr>
            <w:tcW w:type="dxa" w:w="215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2"/>
                <w:szCs w:val="12"/>
              </w:rPr>
              <w:t xml:space="preserve">Conviction Level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niedrig</w:t>
            </w:r>
          </w:p>
        </w:tc>
      </w:tr>
    </w:tbl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1.  Unternehmensbeschreibung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Compagnie Financière Richemont SA ist ein Schweizer Luxusgüterkonzern mit Fokus auf Jewellery Maisons (Cartier, Van Cleef &amp; Arpels), Specialist Watchmakers und weitere Luxusmarken. Das Unternehmen erzielt 76% des Gruppenumsatzes über Direct-to-Client-Kanäle und verkauft global über Einzelhandel, Wholesale und Online. Richemont hat FY2025 das verlustbringende YOOX NET-A-PORTER abgegeben und Vhernier akquiriert, um das Portfolio auf margenstarke Kernassets zu fokussieren.</w:t>
      </w:r>
    </w:p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2.  Investment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Richemont handelt bei Forward P/E 24.5x und EV/EBITDA 16.7x nahe Sektor-Durchschnitt (Peer-Ø Forward P/E 23.4x, EV/EBITDA 15.6x), rechtfertigt aber durch EBIT-Marge 22.2% vs. Peer-Ø 15.8% (+40%) und ROIC 18.1% vs. Peer-Ø 12.3% (+47%) eine moderate Premium-Bewertung. Netto-Cash-Position (Net Debt/EBITDA -0.35x vs. Peer-Ø +2.89x) stützt Bilanzqualität. Quelle: yfinance, Peer-Vergleich</w:t>
      </w:r>
      <w:r>
        <w:rPr>
          <w:rFonts w:ascii="Arial" w:cs="Arial" w:eastAsia="Arial" w:hAnsi="Arial"/>
          <w:b w:val="false"/>
          <w:bCs w:val="false"/>
          <w:i/>
          <w:iCs/>
          <w:color w:val="757575"/>
          <w:sz w:val="13"/>
          <w:szCs w:val="13"/>
        </w:rPr>
        <w:t xml:space="preserve">  [yfinance, Peer-Vergleich Tabelle]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Direct-to-Client-Anteil von 76% des Gruppenumsatzes stärkt Margenqualität und Kundenbindung; strategische Portfoliobereinigung (YNAP-Abgabe, Vhernier-Akquisition) reduziert Komplexität und fokussiert auf High-Margin-Kernmarken. FY2025 Operating Profit EUR 4.467 Mrd. bei bereinigter EBIT-Marge 23.2%. Quelle: IR-Dokument S. 43, 84, 121, News-Agent</w:t>
      </w:r>
      <w:r>
        <w:rPr>
          <w:rFonts w:ascii="Arial" w:cs="Arial" w:eastAsia="Arial" w:hAnsi="Arial"/>
          <w:b w:val="false"/>
          <w:bCs w:val="false"/>
          <w:i/>
          <w:iCs/>
          <w:color w:val="757575"/>
          <w:sz w:val="13"/>
          <w:szCs w:val="13"/>
        </w:rPr>
        <w:t xml:space="preserve">  [IR-Dokument richemont-fy25-annual-report-en.pdf S. 43, 84, 121; News-Agent Perplexity]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Cashflow-Qualität solide: FCF Yield 3.6%, FCF Conversion 85.2% und Operating Cashflow EUR 5.05 Mrd. in FY2025 liefern Ausschüttungsspielraum. Historische Dividende CHF 3.0 (Yield 1.95%) liegt über Peer-Ø. Quelle: yfinance, IR-Dokument</w:t>
      </w:r>
      <w:r>
        <w:rPr>
          <w:rFonts w:ascii="Arial" w:cs="Arial" w:eastAsia="Arial" w:hAnsi="Arial"/>
          <w:b w:val="false"/>
          <w:bCs w:val="false"/>
          <w:i/>
          <w:iCs/>
          <w:color w:val="757575"/>
          <w:sz w:val="13"/>
          <w:szCs w:val="13"/>
        </w:rPr>
        <w:t xml:space="preserve">  [yfinance Cashflow-Daten, IR-Dokument]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Bewertung bietet begrenzten Puffer: EV/FCF 27.3x und Kurs 14.5% unter 52W-Hoch von CHF 180 signalisieren fehlendes Momentum. Bei Forward-Estimates mit Umsatzwachstum 5-7% p.a. und Margen 28.5-30% bleibt wenig Raum für Enttäuschungen aus China, Tourismus oder Zinsdruck. Quelle: yfinance, Forward-Estimates</w:t>
      </w:r>
      <w:r>
        <w:rPr>
          <w:rFonts w:ascii="Arial" w:cs="Arial" w:eastAsia="Arial" w:hAnsi="Arial"/>
          <w:b w:val="false"/>
          <w:bCs w:val="false"/>
          <w:i/>
          <w:iCs/>
          <w:color w:val="757575"/>
          <w:sz w:val="13"/>
          <w:szCs w:val="13"/>
        </w:rPr>
        <w:t xml:space="preserve">  [yfinance, Fundamental-Agent Forward-Estimates]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Katalysator: Stabilisierung der China-Luxusnachfrage und Normalisierung des globalen Tourismus könnten organisches Wachstum &gt;6% und EBIT-Margen &gt;23% auslösen, was Multiple-Expansion auf 26-28x Forward P/E rechtfertigen würde. Bis dahin bleibt Upside begrenzt. Quelle: Risk-Agent Bull Case, News-Agent Industrie-Faktoren</w:t>
      </w:r>
      <w:r>
        <w:rPr>
          <w:rFonts w:ascii="Arial" w:cs="Arial" w:eastAsia="Arial" w:hAnsi="Arial"/>
          <w:b w:val="false"/>
          <w:bCs w:val="false"/>
          <w:i/>
          <w:iCs/>
          <w:color w:val="757575"/>
          <w:sz w:val="13"/>
          <w:szCs w:val="13"/>
        </w:rPr>
        <w:t xml:space="preserve">  [Risk-Agent Bull Case, News-Agent Industrie-Faktoren]</w:t>
      </w:r>
    </w:p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3.  Finanzübersicht (in Mrd. Berichtswährung, ausser je Aktie)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40"/>
        <w:gridCol w:w="800"/>
        <w:gridCol w:w="760"/>
        <w:gridCol w:w="680"/>
        <w:gridCol w:w="620"/>
        <w:gridCol w:w="600"/>
        <w:gridCol w:w="680"/>
        <w:gridCol w:w="800"/>
        <w:gridCol w:w="680"/>
        <w:gridCol w:w="3552"/>
      </w:tblGrid>
      <w:tr>
        <w:trPr>
          <w:tblHeader/>
        </w:trP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Jahr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Umsatz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EBITDA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EBITDA-%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EBIT-%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EPS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DPS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FCF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ND/EBITDA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ROIC-%</w:t>
            </w:r>
          </w:p>
        </w:tc>
        <w:tc>
          <w:tcPr>
            <w:tcW w:type="dxa" w:w="35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Quelle</w:t>
            </w:r>
          </w:p>
        </w:tc>
      </w:tr>
      <w:t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2022A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16.748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4.684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27.9675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18.6948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3.61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3.763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1.1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8.4</w:t>
            </w:r>
          </w:p>
        </w:tc>
        <w:tc>
          <w:tcPr>
            <w:tcW w:type="dxa" w:w="35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A = Istzahlen | E = Schätzung (Quelle: yfinance) | </w:t>
            </w:r>
          </w:p>
        </w:tc>
      </w:tr>
      <w:t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2023A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19.953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6.519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32.6718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25.2894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0.54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3.21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3.507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0.73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13.5</w:t>
            </w:r>
          </w:p>
        </w:tc>
        <w:tc>
          <w:tcPr>
            <w:tcW w:type="dxa" w:w="35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A = Istzahlen | E = Schätzung (Quelle: yfinance) | </w:t>
            </w:r>
          </w:p>
        </w:tc>
      </w:tr>
      <w:t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2024A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20.616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6.52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31.6259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24.6799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4.08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3.58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3.675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0.87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12.8</w:t>
            </w:r>
          </w:p>
        </w:tc>
        <w:tc>
          <w:tcPr>
            <w:tcW w:type="dxa" w:w="35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A = Istzahlen | E = Schätzung (Quelle: yfinance) | </w:t>
            </w:r>
          </w:p>
        </w:tc>
      </w:tr>
      <w:t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2025A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21.399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6.532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30.5248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23.2347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4.671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3.263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0.85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13.6</w:t>
            </w:r>
          </w:p>
        </w:tc>
        <w:tc>
          <w:tcPr>
            <w:tcW w:type="dxa" w:w="35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A = Istzahlen | E = Schätzung (Quelle: IR-Dokument bereinigt) | </w:t>
            </w:r>
          </w:p>
        </w:tc>
      </w:tr>
      <w:t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3"/>
                <w:szCs w:val="13"/>
              </w:rPr>
              <w:t xml:space="preserve">📊 2026E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22.1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28.5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4.95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35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A = Istzahlen | E = Schätzung (Quelle: LLM-Ableitung) | </w:t>
            </w:r>
          </w:p>
        </w:tc>
      </w:tr>
      <w:t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3"/>
                <w:szCs w:val="13"/>
              </w:rPr>
              <w:t xml:space="preserve">📊 2027E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23.5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29.2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5.35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35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A = Istzahlen | E = Schätzung (Quelle: LLM-Ableitung) | </w:t>
            </w:r>
          </w:p>
        </w:tc>
      </w:tr>
      <w:t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3"/>
                <w:szCs w:val="13"/>
              </w:rPr>
              <w:t xml:space="preserve">📊 2028E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25.1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5.85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35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A = Istzahlen | E = Schätzung (Quelle: LLM-Ableitung) | </w:t>
            </w:r>
          </w:p>
        </w:tc>
      </w:tr>
      <w:t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57575"/>
                <w:sz w:val="12"/>
                <w:szCs w:val="12"/>
              </w:rPr>
              <w:t xml:space="preserve">ℹ</w:t>
            </w:r>
          </w:p>
        </w:tc>
        <w:tc>
          <w:tcPr>
            <w:tcW w:type="dxa" w:w="10012"/>
            <w:gridSpan w:val="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1"/>
                <w:szCs w:val="11"/>
              </w:rPr>
              <w:t xml:space="preserve">A = Istzahlen (geprüft)  |  📊 E = Schätzwert  |  Forward-Schätzungen: Approximation — kein Ersatz für Bloomberg/FactSet</w:t>
            </w:r>
          </w:p>
        </w:tc>
      </w:tr>
    </w:tbl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4.  Bewertung gegenüber Peer und Historischen Kennzahlen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2400"/>
        <w:gridCol w:w="3372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Kennzahl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Aktuell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Peer-Median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Hist. Ø 5J</w:t>
            </w:r>
          </w:p>
        </w:tc>
        <w:tc>
          <w:tcPr>
            <w:tcW w:type="dxa" w:w="33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Einschätzung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EV/EBITDA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16.7x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15.6x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~18x (5Y)</w:t>
            </w:r>
          </w:p>
        </w:tc>
        <w:tc>
          <w:tcPr>
            <w:tcW w:type="dxa" w:w="33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3"/>
                <w:szCs w:val="13"/>
              </w:rPr>
              <w:t xml:space="preserve">FAIR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Forward P/E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24.5x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23.4x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~26x (5Y)</w:t>
            </w:r>
          </w:p>
        </w:tc>
        <w:tc>
          <w:tcPr>
            <w:tcW w:type="dxa" w:w="33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3"/>
                <w:szCs w:val="13"/>
              </w:rPr>
              <w:t xml:space="preserve">FAIR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EV/Sales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4.04x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~3.5x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~4.2x (5Y)</w:t>
            </w:r>
          </w:p>
        </w:tc>
        <w:tc>
          <w:tcPr>
            <w:tcW w:type="dxa" w:w="33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ELEVATED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P/B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4.45x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~3.8x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~4.0x (5Y)</w:t>
            </w:r>
          </w:p>
        </w:tc>
        <w:tc>
          <w:tcPr>
            <w:tcW w:type="dxa" w:w="33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ELEVATED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EV/FCF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27.3x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~22x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~25x (5Y)</w:t>
            </w:r>
          </w:p>
        </w:tc>
        <w:tc>
          <w:tcPr>
            <w:tcW w:type="dxa" w:w="33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ELEVATED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Dividend Yield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1.95%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1.73%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~2.2% (5Y)</w:t>
            </w:r>
          </w:p>
        </w:tc>
        <w:tc>
          <w:tcPr>
            <w:tcW w:type="dxa" w:w="33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3"/>
                <w:szCs w:val="13"/>
              </w:rPr>
              <w:t xml:space="preserve">FAIR</w:t>
            </w:r>
          </w:p>
        </w:tc>
      </w:tr>
    </w:tbl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5.  Peer-Vergleich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960"/>
        <w:gridCol w:w="880"/>
        <w:gridCol w:w="880"/>
        <w:gridCol w:w="960"/>
        <w:gridCol w:w="880"/>
        <w:gridCol w:w="2812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Unternehmen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Land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EV/EBITDA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Fwd. P/E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EBIT-%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ND/EBITDA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Div.-%</w:t>
            </w:r>
          </w:p>
        </w:tc>
        <w:tc>
          <w:tcPr>
            <w:tcW w:type="dxa" w:w="281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Wachstum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LVMH Moët Hennessy - Louis Vuitton, Société Européenne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France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12.3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18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21.2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1.13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n/v</w:t>
            </w:r>
          </w:p>
        </w:tc>
        <w:tc>
          <w:tcPr>
            <w:tcW w:type="dxa" w:w="281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-4.7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Kering SA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France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17.6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24.4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11.1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5.6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n/v</w:t>
            </w:r>
          </w:p>
        </w:tc>
        <w:tc>
          <w:tcPr>
            <w:tcW w:type="dxa" w:w="281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n/v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Christian Dior SE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France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6.9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19.8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1.12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n/v</w:t>
            </w:r>
          </w:p>
        </w:tc>
        <w:tc>
          <w:tcPr>
            <w:tcW w:type="dxa" w:w="281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-4.7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Burberry Group plc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United Kingdom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18.1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19.2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10.2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3.15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n/v</w:t>
            </w:r>
          </w:p>
        </w:tc>
        <w:tc>
          <w:tcPr>
            <w:tcW w:type="dxa" w:w="281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0.9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Brunello Cucinelli S.p.A.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Italy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22.9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31.9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16.8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3.43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n/v</w:t>
            </w:r>
          </w:p>
        </w:tc>
        <w:tc>
          <w:tcPr>
            <w:tcW w:type="dxa" w:w="281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10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Ø  Sektor-Durchschnitt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n/v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15.56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23.38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15.82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2.89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n/v</w:t>
            </w:r>
          </w:p>
        </w:tc>
        <w:tc>
          <w:tcPr>
            <w:tcW w:type="dxa" w:w="281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0.3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⭐ Compagnie Financière Richemont SA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3"/>
                <w:szCs w:val="13"/>
              </w:rPr>
              <w:t xml:space="preserve">Switzerland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3"/>
                <w:szCs w:val="13"/>
              </w:rPr>
              <w:t xml:space="preserve">16.7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3"/>
                <w:szCs w:val="13"/>
              </w:rPr>
              <w:t xml:space="preserve">24.4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3"/>
                <w:szCs w:val="13"/>
              </w:rPr>
              <w:t xml:space="preserve">22.2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3"/>
                <w:szCs w:val="13"/>
              </w:rPr>
              <w:t xml:space="preserve">-0.35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3"/>
                <w:szCs w:val="13"/>
              </w:rPr>
              <w:t xml:space="preserve">n/v</w:t>
            </w:r>
          </w:p>
        </w:tc>
        <w:tc>
          <w:tcPr>
            <w:tcW w:type="dxa" w:w="281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3"/>
                <w:szCs w:val="13"/>
              </w:rPr>
              <w:t xml:space="preserve">5.4</w:t>
            </w:r>
          </w:p>
        </w:tc>
      </w:tr>
    </w:tbl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6.  Szenarien — Bear / Base / Bull Case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0"/>
        <w:gridCol w:w="3590"/>
        <w:gridCol w:w="3592"/>
      </w:tblGrid>
      <w:tr>
        <w:tc>
          <w:tcPr>
            <w:tcW w:type="dxa" w:w="3590"/>
            <w:tcBorders>
              <w:top w:val="single" w:color="E53935" w:sz="8"/>
              <w:left w:val="single" w:color="E53935" w:sz="8"/>
              <w:bottom w:val="single" w:color="E53935" w:sz="2"/>
              <w:right w:val="single" w:color="E53935" w:sz="2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🐻  Bear Case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4"/>
                <w:szCs w:val="24"/>
              </w:rPr>
              <w:t xml:space="preserve">118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57575"/>
                <w:sz w:val="13"/>
                <w:szCs w:val="13"/>
              </w:rPr>
              <w:t xml:space="preserve">Wahrscheinlichkeit: 35%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2"/>
                <w:szCs w:val="12"/>
              </w:rPr>
              <w:t xml:space="preserve">Kernannahme: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China, Tourismus und US-Makro bleiben schwach, sodass Umsatzwachstum auf 0-2% fällt und die EBITDA-Marge 100-150 bp unter den aktuellen Projektionen liegt.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2"/>
                <w:szCs w:val="12"/>
              </w:rPr>
              <w:t xml:space="preserve">Auslöser: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Q1/Q2 FY2026 Umsatzwachstum unter 2% yoy oder EBIT-Marge unter 22% trotz stabiler Vergleichsbasis.</w:t>
            </w:r>
          </w:p>
        </w:tc>
        <w:tc>
          <w:tcPr>
            <w:tcW w:type="dxa" w:w="3590"/>
            <w:tcBorders>
              <w:top w:val="single" w:color="F9A825" w:sz="8"/>
              <w:left w:val="single" w:color="F9A825" w:sz="8"/>
              <w:bottom w:val="single" w:color="F9A825" w:sz="2"/>
              <w:right w:val="single" w:color="F9A825" w:sz="2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⚖️  Base Case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4"/>
                <w:szCs w:val="24"/>
              </w:rPr>
              <w:t xml:space="preserve">145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57575"/>
                <w:sz w:val="13"/>
                <w:szCs w:val="13"/>
              </w:rPr>
              <w:t xml:space="preserve">Wahrscheinlichkeit: 45%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2"/>
                <w:szCs w:val="12"/>
              </w:rPr>
              <w:t xml:space="preserve">Kernannahme: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Das Unternehmen wächst moderat weiter, aber Headwinds aus Zinsen, China und Footfall begrenzen die Multiple-Expansion; Umsatz wächst 3-5% p.a. und Margen bleiben ungefähr stabil.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2"/>
                <w:szCs w:val="12"/>
              </w:rPr>
              <w:t xml:space="preserve">Auslöser: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FY2026 Guidance bestätigt mittleres einstelliges Wachstum ohne Anhebung des Margenausblicks.</w:t>
            </w:r>
          </w:p>
        </w:tc>
        <w:tc>
          <w:tcPr>
            <w:tcW w:type="dxa" w:w="3592"/>
            <w:tcBorders>
              <w:top w:val="single" w:color="43A047" w:sz="8"/>
              <w:left w:val="single" w:color="43A047" w:sz="8"/>
              <w:bottom w:val="single" w:color="43A047" w:sz="2"/>
              <w:right w:val="single" w:color="43A047" w:sz="2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🐂  Bull Case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182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57575"/>
                <w:sz w:val="13"/>
                <w:szCs w:val="13"/>
              </w:rPr>
              <w:t xml:space="preserve">Wahrscheinlichkeit: 20%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2"/>
                <w:szCs w:val="12"/>
              </w:rPr>
              <w:t xml:space="preserve">Kernannahme: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China normalisiert sich, Tourismus zieht an und Direct-to-Client/Portfolio-Fokus liefert ohne Reibungsverluste höhere Mix-Margen; Umsatz wächst 6-8% p.a. bei stabilen bis leicht steigenden Margen.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2"/>
                <w:szCs w:val="12"/>
              </w:rPr>
              <w:t xml:space="preserve">Auslöser: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Mehrere Quartale mit organischem Wachstum &gt;6% und anhaltender EBIT-Marge &gt;23% sowie positiver Guidance-Anhebung.</w:t>
            </w:r>
          </w:p>
        </w:tc>
      </w:tr>
    </w:tbl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7.  Quantifizierte Risiken &amp; Conviction Killers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Quantifizierte Risiken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China-/Asien-Nachfrage: Ein Rückgang um 10% yoy in China/HK/Macau würde Gruppenumsatz um ca. 3-5% belasten und EBIT-Marge um 50-100 bp drücken → Kursziel-Downside auf CHF 118-130 (mittelfristig).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US-Renditen: Steigende 10Y-Renditen auf &gt;5% würden Luxusnachfrage über Vermögenseffekte dämpfen und Bewertungsmultiples unter Druck setzen → EV/EBITDA könnte von 16.7x auf 14-15x fallen (kurzfristig).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Execution-Risiko: Reibungsverluste bei Direct-to-Client-Ausbau oder Vhernier-Integration könnten EBIT-Marge um 100 bp senken → EUR 220 Mio. EBIT-Verlust entspricht ca. 0.25-0.30 CHF EPS (mittelfristig).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Tourismus-/Retail-Footfall: Schwächerer globaler Travel-Retail reduziert Konversionsraten und Basket-Size in Premium-Stores → organisches Wachstum fällt von 5-7% auf 0-2% (kurzfristig bis mittelfristig).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Sentiment/Momentum: Kurs 14.5% unter 52W-Hoch ohne positiven Katalysator erhöht De-Rating-Risiko bei Enttäuschungen → technischer Rücksetzer auf CHF 127 (17% Downside) möglich (kurzfristig).</w:t>
            </w:r>
          </w:p>
        </w:tc>
        <w:tc>
          <w:tcPr>
            <w:tcW w:type="dxa" w:w="53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5"/>
                <w:szCs w:val="15"/>
              </w:rPr>
              <w:t xml:space="preserve">🚨  Conviction Killers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2"/>
                <w:szCs w:val="12"/>
              </w:rPr>
              <w:t xml:space="preserve">Datenpunkte die den Investment Case sofort entkräften: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5"/>
                <w:szCs w:val="15"/>
              </w:rPr>
              <w:t xml:space="preserve">⚠  Ein Quartal mit organischem Umsatzwachstum unter 2% und gleichzeitig rückläufiger EBIT-Marge würde die These einer fair bewerteten, qualitativ stabilen Luxusmaschine sofort entkräften.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2"/>
                <w:szCs w:val="12"/>
              </w:rPr>
              <w:t xml:space="preserve">  → Monitor: Watch next reported organic sales growth and EBIT margin; if organic growth &lt;2% or EBIT margin &lt;22% the bull/hold thesis collapses.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5"/>
                <w:szCs w:val="15"/>
              </w:rPr>
              <w:t xml:space="preserve">⚠  Wenn China/Hongkong/Macau oder das tourismusgetriebene Geschäft klar zweistellig zurückgeht, ist die Wachstumsannahme des Modells nicht mehr haltbar.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2"/>
                <w:szCs w:val="12"/>
              </w:rPr>
              <w:t xml:space="preserve">  → Monitor: Watch regional sales disclosure; if China/HK/Macau growth is negative by more than 10% yoy for a quarter, invalidate the recommendation.</w:t>
            </w:r>
          </w:p>
        </w:tc>
      </w:tr>
    </w:tbl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8.  Makro-Ampel &amp; Sentiment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7972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Beobachtungsbereich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Signal</w:t>
            </w:r>
          </w:p>
        </w:tc>
        <w:tc>
          <w:tcPr>
            <w:tcW w:type="dxa" w:w="79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Einschätzung &amp; Transmissionsmechanismus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Makro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negativ</w:t>
            </w:r>
          </w:p>
        </w:tc>
        <w:tc>
          <w:tcPr>
            <w:tcW w:type="dxa" w:w="79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Steigende US-Renditen (10Y 4.67%, 2Y 4.33%) und Inflationssorgen belasten Vermögenseffekte und Diskretionärnachfrage; USD/CHF +1.07% stützt nur begrenzt.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Branche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negativ</w:t>
            </w:r>
          </w:p>
        </w:tc>
        <w:tc>
          <w:tcPr>
            <w:tcW w:type="dxa" w:w="79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Chinese luxury demand headwind, schwächeres Tourismus-Spending und geringerer Retail-Footfall dämpfen Luxusnachfrage; Premium Pricing und Watch Sales neutral.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Unternehmen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3"/>
                <w:szCs w:val="13"/>
              </w:rPr>
              <w:t xml:space="preserve">neutral</w:t>
            </w:r>
          </w:p>
        </w:tc>
        <w:tc>
          <w:tcPr>
            <w:tcW w:type="dxa" w:w="79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Direct-to-Client 76%, starke Margen (EBIT 22.2%, ROIC 18.1%) und Netto-Cash stützen Qualität, aber Forward-Estimates 5-7% Wachstum erscheinen zu optimistisch für aktuelles Makro.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Konkurrenz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3"/>
                <w:szCs w:val="13"/>
              </w:rPr>
              <w:t xml:space="preserve">neutral</w:t>
            </w:r>
          </w:p>
        </w:tc>
        <w:tc>
          <w:tcPr>
            <w:tcW w:type="dxa" w:w="79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Richemont handelt +7.3% über Sektor-Ø bei EV/EBITDA und +40% bei EBIT-Marge, rechtfertigt moderate Premium-Bewertung; Peers zeigen ähnliche Headwinds aus China/Tourismus.</w:t>
            </w:r>
          </w:p>
        </w:tc>
      </w:tr>
    </w:tbl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9.  Finale Begründung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Fundamental: Richemont bietet solide operative Qualität mit EBIT-Marge 22.2% (+40% vs. Peer-Ø), ROIC 18.1% (+47% vs. Peer-Ø) und Netto-Cash-Position (Net Debt/EBITDA -0.35x vs. Peer-Ø +2.89x). Der Fundamental-Agent leitet Fair Value 160 CHF (+3.8% Upside) aus Forward P/E 24.5x und EV/EBITDA 16.7x ab, ignoriert aber, dass EV/FCF 27.3x härter ist und Forward-Estimates (Umsatzwachstum 5-7% p.a., Margen 28.5-30%) für das aktuelle Makro zu optimistisch sind. | Makro: News-Agent liefert Sentiment 6/10 (neutral) mit expliziten Headwinds: steigende US-Renditen (10Y 4.67%, 2Y 4.33%), Inflationssorgen, schwächere China-Luxusnachfrage, geringeres Tourismus-Spending und Retail-Footfall-Druck. Diese Makro-Risiken wurden in den Forward-Estimates nicht konservativ eingepreist. USDCHF +1.07% stützt nur begrenzt. | Risk: Risk-Agent empfiehlt UNTERGEWICHTEN und identifiziert 5 zentrale Makro-Risiken, die der Fundamental-Agent ignoriert hat. 2 Conviction Killers aktiv: (1) organisches Wachstum &lt;2% oder EBIT-Marge &lt;22% invalidiert HALTEN-These; (2) China/HK/Macau -10% yoy invalidiert Wachstumsannahme. Bei Bear-Case-Annahmen (Umsatz +0-2%, Marge -100-150 bp) fällt Kursziel auf CHF 118 (-23%). | Gewichtetes Fazit: Gewichtung Fundamental 80% × (Fair Value 160 CHF) + Makro 10% × (Sentiment 6/10 → -5% Abschlag) + Risk 10% × (2 Conviction Killers aktiv → -10% Abschlag) ergibt adjustiertes Kursziel 150 CHF (-2.7% vs. aktuell 154.1 CHF). Empfehlung HALTEN bei niedrigem Conviction Level, weil Widersprüche zwischen Agenten bestehen und Makro-Headwinds nicht ausreichend in Forward-Estimates reflektiert sind. Peer-Vergleich stützt moderate Premium-Bewertung (+7.3% EV/EBITDA, +40% EBIT-Marge vs. Sektor-Ø), rechtfertigt aber bei Forward P/E nur +4.4% über Ø und fehlendem Momentum kein zusätzliches Upside. Base-Case-Wahrscheinlichkeit 45% mit Kursziel 145 CHF dominiert; Bull-Case 20% mit 182 CHF erfordert China-Normalisierung und &gt;6% organisches Wachstum, was aktuell nicht absehbar ist. HALTEN bleibt gerechtfertigt, solange organisches Wachstum &gt;3% und EBIT-Marge &gt;22% – bei Unterschreitung Downgrade zu UNTERGEWICHTEN.</w:t>
            </w:r>
          </w:p>
        </w:tc>
      </w:tr>
    </w:tbl>
    <w:p>
      <w:pPr>
        <w:pBdr>
          <w:bottom w:val="single" w:color="C9A84C" w:sz="6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10.  Quellen &amp; Literaturverzeichnis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3"/>
          <w:szCs w:val="13"/>
        </w:rPr>
        <w:t xml:space="preserve">[1]  yfinance (Marktdaten, Finanzkennzahlen, Cashflow, Multiples, Peer-Vergleich)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3"/>
          <w:szCs w:val="13"/>
        </w:rPr>
        <w:t xml:space="preserve">[2]  IR-Dokument: richemont-fy25-annual-report-en.pdf S. 43, 84, 87, 88, 121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3"/>
          <w:szCs w:val="13"/>
        </w:rPr>
        <w:t xml:space="preserve">[3]  News-Agent: Perplexity, Richemont Press Releases, Reuters, Simply Wall St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3"/>
          <w:szCs w:val="13"/>
        </w:rPr>
        <w:t xml:space="preserve">[4]  Risk-Agent: Conviction Killers, Macro Risks Ignored, Scenarios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3"/>
          <w:szCs w:val="13"/>
        </w:rPr>
        <w:t xml:space="preserve">[5]  Peer-Vergleich: Tavily Websearch, Finnhub, yfinance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3"/>
          <w:szCs w:val="13"/>
        </w:rPr>
        <w:t xml:space="preserve">[6]  Forward-Estimates: LLM-Ableitung aus IR-Dokumenten (kein Ersatz für professionelle Konsensdaten)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2"/>
                <w:szCs w:val="12"/>
              </w:rPr>
              <w:t xml:space="preserve">DISCLAIMER: Dieses Dokument wurde automatisch durch den KI-Co-Analysten generiert (Bachelor Thesis BFH 2025/26, Luca Lüdi) und dient ausschliesslich zu Forschungs- und Demonstrationszwecken. Es stellt keine Anlageberatung dar (Art. 3 lit. c FIDLEG). Forward-Schätzungen sind Approximationen — kein Ersatz für Bloomberg/FactSet.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84" w:right="567" w:bottom="284" w:left="567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spacing w:after="0" w:before="60"/>
    </w:pPr>
    <w:r>
      <w:rPr>
        <w:rFonts w:ascii="Arial" w:cs="Arial" w:eastAsia="Arial" w:hAnsi="Arial"/>
        <w:b/>
        <w:bCs/>
        <w:i w:val="false"/>
        <w:iCs w:val="false"/>
        <w:color w:val="B8860B"/>
        <w:sz w:val="12"/>
        <w:szCs w:val="12"/>
      </w:rPr>
      <w:t xml:space="preserve">HALTEN  |  Kursziel CHF 150  |  Upside -2.66%</w:t>
    </w:r>
    <w:r>
      <w:rPr>
        <w:rFonts w:ascii="Arial" w:cs="Arial" w:eastAsia="Arial" w:hAnsi="Arial"/>
        <w:b w:val="false"/>
        <w:bCs w:val="false"/>
        <w:i w:val="false"/>
        <w:iCs w:val="false"/>
        <w:color w:val="757575"/>
        <w:sz w:val="12"/>
        <w:szCs w:val="12"/>
      </w:rPr>
      <w:t xml:space="preserve">        Seite </w:t>
    </w:r>
    <w:r>
      <w:rPr>
        <w:rFonts w:ascii="Arial" w:cs="Arial" w:eastAsia="Arial" w:hAnsi="Arial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757575"/>
        <w:sz w:val="12"/>
        <w:szCs w:val="12"/>
      </w:rPr>
      <w:t xml:space="preserve"> / </w:t>
    </w:r>
    <w:r>
      <w:rPr>
        <w:rFonts w:ascii="Arial" w:cs="Arial" w:eastAsia="Arial" w:hAnsi="Arial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spacing w:after="60" w:before="0"/>
    </w:pPr>
    <w:r>
      <w:rPr>
        <w:rFonts w:ascii="Arial" w:cs="Arial" w:eastAsia="Arial" w:hAnsi="Arial"/>
        <w:b/>
        <w:bCs/>
        <w:i w:val="false"/>
        <w:iCs w:val="false"/>
        <w:color w:val="1F3864"/>
        <w:sz w:val="13"/>
        <w:szCs w:val="13"/>
      </w:rPr>
      <w:t xml:space="preserve">Compagnie Financière Richemont SA  (CFR.SW)</w:t>
    </w:r>
    <w:r>
      <w:rPr>
        <w:rFonts w:ascii="Arial" w:cs="Arial" w:eastAsia="Arial" w:hAnsi="Arial"/>
        <w:b w:val="false"/>
        <w:bCs w:val="false"/>
        <w:i w:val="false"/>
        <w:iCs w:val="false"/>
        <w:color w:val="757575"/>
        <w:sz w:val="12"/>
        <w:szCs w:val="12"/>
      </w:rPr>
      <w:t xml:space="preserve">    KI-Co-Analyst  ·  BFH 2025/26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2026-05-20T11:07:50.103Z</dcterms:created>
  <dcterms:modified xsi:type="dcterms:W3CDTF">2026-05-20T11:07:50.105Z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