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572"/>
      </w:tblGrid>
      <w:tr>
        <w:tc>
          <w:tcPr>
            <w:tcW w:type="dxa" w:w="6200"/>
            <w:gridSpan w:val="1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NVIDIA Corporation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BEC5"/>
                <w:sz w:val="14"/>
                <w:szCs w:val="14"/>
              </w:rPr>
              <w:t xml:space="preserve">NVDA  ·  Technology  ·  2026-05-20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8909C"/>
                <w:sz w:val="12"/>
                <w:szCs w:val="12"/>
              </w:rPr>
              <w:t xml:space="preserve">KI-Co-Analyst  ·  BFH Bachelor Thesis 2025/26  ·  Luca Lüdi</w:t>
            </w:r>
          </w:p>
        </w:tc>
        <w:tc>
          <w:tcPr>
            <w:tcW w:type="dxa" w:w="4572"/>
            <w:gridSpan w:val="1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BEC5"/>
                <w:sz w:val="13"/>
                <w:szCs w:val="13"/>
              </w:rPr>
              <w:t xml:space="preserve">Empfehlung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6"/>
                <w:szCs w:val="26"/>
              </w:rPr>
              <w:t xml:space="preserve">HALTEN</w:t>
            </w:r>
          </w:p>
        </w:tc>
      </w:tr>
    </w:tbl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2"/>
                <w:szCs w:val="12"/>
              </w:rPr>
              <w:t xml:space="preserve">Aktueller Kurs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USD 220.61</w:t>
            </w:r>
          </w:p>
        </w:tc>
        <w:tc>
          <w:tcPr>
            <w:tcW w:type="dxa" w:w="215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2"/>
                <w:szCs w:val="12"/>
              </w:rPr>
              <w:t xml:space="preserve">Kursziel (12M)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USD 220</w:t>
            </w:r>
          </w:p>
        </w:tc>
        <w:tc>
          <w:tcPr>
            <w:tcW w:type="dxa" w:w="215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2"/>
                <w:szCs w:val="12"/>
              </w:rPr>
              <w:t xml:space="preserve">Upside / Downside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9"/>
                <w:szCs w:val="19"/>
              </w:rPr>
              <w:t xml:space="preserve">-0.28%</w:t>
            </w:r>
          </w:p>
        </w:tc>
        <w:tc>
          <w:tcPr>
            <w:tcW w:type="dxa" w:w="215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2"/>
                <w:szCs w:val="12"/>
              </w:rPr>
              <w:t xml:space="preserve">Marktkapitalisierung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n/v</w:t>
            </w:r>
          </w:p>
        </w:tc>
        <w:tc>
          <w:tcPr>
            <w:tcW w:type="dxa" w:w="215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2"/>
                <w:szCs w:val="12"/>
              </w:rPr>
              <w:t xml:space="preserve">Conviction Level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niedrig</w:t>
            </w:r>
          </w:p>
        </w:tc>
      </w:tr>
    </w:tbl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1.  Unternehmensbeschreibung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NVIDIA entwickelt GPU- und AI-Infrastruktur-Hardware sowie zugehörige Software für Rechenzentren, Gaming, Professional Visualization und Automotive. Das Unternehmen dominiert den Data-Center-KI-Markt mit 65% operativer Marge und 73.2% Umsatzwachstum TTM. Die aktuelle Bewertung (Forward P/E 19x, EV/EBITDA 39.9x) reflektiert hohe Wachstumserwartungen, aber auch Sensitivität gegenüber Zinsänderungen und Nachfragenormalisierung.</w:t>
      </w:r>
    </w:p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2.  Investment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NVDA handelt bei Forward P/E 19.0x und damit 15% unter Sektorschnitt 22.4x, während die EBIT-Marge mit 65.0% um 74% über Peer-Durchschnitt 37.4% liegt (Quelle: Peer-Vergleich yfinance). Das rechtfertigt ein Bewertungs-Premium, nicht einen 40%-Abschlag.</w:t>
      </w:r>
      <w:r>
        <w:rPr>
          <w:rFonts w:ascii="Arial" w:cs="Arial" w:eastAsia="Arial" w:hAnsi="Arial"/>
          <w:b w:val="false"/>
          <w:bCs w:val="false"/>
          <w:i/>
          <w:iCs/>
          <w:color w:val="757575"/>
          <w:sz w:val="13"/>
          <w:szCs w:val="13"/>
        </w:rPr>
        <w:t xml:space="preserve">  [yfinance Peer-Vergleich]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Operativer Track-Record ist außergewöhnlich: Revenue CAGR 2023A-2026A von 102%, ROIC 101.5% vs. Sektor-Ø 29.9%, FCF-Conversion 80.5%, Net Debt/EBITDA -0.38x (Netto-Cash-Position). Diese Qualität stützt ein strukturelles Premium-Multiple (Quelle: yfinance, IR-Dokumente).</w:t>
      </w:r>
      <w:r>
        <w:rPr>
          <w:rFonts w:ascii="Arial" w:cs="Arial" w:eastAsia="Arial" w:hAnsi="Arial"/>
          <w:b w:val="false"/>
          <w:bCs w:val="false"/>
          <w:i/>
          <w:iCs/>
          <w:color w:val="757575"/>
          <w:sz w:val="13"/>
          <w:szCs w:val="13"/>
        </w:rPr>
        <w:t xml:space="preserve">  [yfinance / IR-Dokumente]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AI-Accelerator-Nachfrage bleibt zentraler Wachstumsmotor: Industrie-Faktoren zeigen 'tailwind' für Chip Demand und AI Demand trotz makroökonomischer Headwinds. Data-Center-Segment trägt Großteil des Wachstums und Margenprofils (Quelle: News-Agent Industry Factors).</w:t>
      </w:r>
      <w:r>
        <w:rPr>
          <w:rFonts w:ascii="Arial" w:cs="Arial" w:eastAsia="Arial" w:hAnsi="Arial"/>
          <w:b w:val="false"/>
          <w:bCs w:val="false"/>
          <w:i/>
          <w:iCs/>
          <w:color w:val="757575"/>
          <w:sz w:val="13"/>
          <w:szCs w:val="13"/>
        </w:rPr>
        <w:t xml:space="preserve">  [News-Agent / Yahoo Finance]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Analystenkonsens bei 275.31 USD Price Target (+24.8% Upside) und 'Strong Buy' Recommendation deutet darauf hin, dass der Markt die Plattform-Optionalität höher gewichtet als deterministische DCF-Modelle (Quelle: Fundamental-Agent key_metrics).</w:t>
      </w:r>
      <w:r>
        <w:rPr>
          <w:rFonts w:ascii="Arial" w:cs="Arial" w:eastAsia="Arial" w:hAnsi="Arial"/>
          <w:b w:val="false"/>
          <w:bCs w:val="false"/>
          <w:i/>
          <w:iCs/>
          <w:color w:val="757575"/>
          <w:sz w:val="13"/>
          <w:szCs w:val="13"/>
        </w:rPr>
        <w:t xml:space="preserve">  [Fundamental-Agent / Analystenkonsens]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Katalysator: Nächste Earnings-Guidance für FY2027 Data Center Revenue — wenn Wachstum weiter zweistellig bleibt und keine signifikante Guidance-Reduktion erfolgt, bestätigt das die strukturelle Nachfragestärke und kann Multiple-Expansion auslösen (Quelle: Risk-Agent Conviction Killers).</w:t>
      </w:r>
      <w:r>
        <w:rPr>
          <w:rFonts w:ascii="Arial" w:cs="Arial" w:eastAsia="Arial" w:hAnsi="Arial"/>
          <w:b w:val="false"/>
          <w:bCs w:val="false"/>
          <w:i/>
          <w:iCs/>
          <w:color w:val="757575"/>
          <w:sz w:val="13"/>
          <w:szCs w:val="13"/>
        </w:rPr>
        <w:t xml:space="preserve">  [Risk-Agent Monitoring Indicator]</w:t>
      </w:r>
    </w:p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3.  Finanzübersicht (in Mrd. Berichtswährung, ausser je Aktie)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40"/>
        <w:gridCol w:w="800"/>
        <w:gridCol w:w="760"/>
        <w:gridCol w:w="680"/>
        <w:gridCol w:w="620"/>
        <w:gridCol w:w="600"/>
        <w:gridCol w:w="680"/>
        <w:gridCol w:w="800"/>
        <w:gridCol w:w="680"/>
        <w:gridCol w:w="3552"/>
      </w:tblGrid>
      <w:tr>
        <w:trPr>
          <w:tblHeader/>
        </w:trP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Jahr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Umsatz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EBITDA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EBITDA-%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EBIT-%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EPS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DPS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FCF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ND/EBITDA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ROIC-%</w:t>
            </w:r>
          </w:p>
        </w:tc>
        <w:tc>
          <w:tcPr>
            <w:tcW w:type="dxa" w:w="35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Quelle</w:t>
            </w:r>
          </w:p>
        </w:tc>
      </w:tr>
      <w:t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2023A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26.974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5.986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22.19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16.47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0.17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0.02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3.808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1.44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12.8</w:t>
            </w:r>
          </w:p>
        </w:tc>
        <w:tc>
          <w:tcPr>
            <w:tcW w:type="dxa" w:w="35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A = Istzahlen | yfinance</w:t>
            </w:r>
          </w:p>
        </w:tc>
      </w:tr>
      <w:t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2024A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60.922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35.583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58.41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55.93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1.19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0.02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27.021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0.11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56.9</w:t>
            </w:r>
          </w:p>
        </w:tc>
        <w:tc>
          <w:tcPr>
            <w:tcW w:type="dxa" w:w="35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A = Istzahlen | yfinance</w:t>
            </w:r>
          </w:p>
        </w:tc>
      </w:tr>
      <w:t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2025A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130.497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86.137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66.01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64.58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2.94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0.03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60.853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0.02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83.2</w:t>
            </w:r>
          </w:p>
        </w:tc>
        <w:tc>
          <w:tcPr>
            <w:tcW w:type="dxa" w:w="35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A = Istzahlen | yfinance</w:t>
            </w:r>
          </w:p>
        </w:tc>
      </w:tr>
      <w:t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2026A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215.938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144.552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66.94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65.62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4.9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0.04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96.676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n/v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72.6</w:t>
            </w:r>
          </w:p>
        </w:tc>
        <w:tc>
          <w:tcPr>
            <w:tcW w:type="dxa" w:w="35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A = Istzahlen | IR-Dokument (bereinigt)</w:t>
            </w:r>
          </w:p>
        </w:tc>
      </w:tr>
      <w:t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3"/>
                <w:szCs w:val="13"/>
              </w:rPr>
              <w:t xml:space="preserve">📊 2026E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195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64.5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4.1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35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E = Schätzung (Quelle: LLM-Ableitung aus IR-Dokumenten — niedrige Konfidenz) | </w:t>
            </w:r>
          </w:p>
        </w:tc>
      </w:tr>
      <w:t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3"/>
                <w:szCs w:val="13"/>
              </w:rPr>
              <w:t xml:space="preserve">📊 2027E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242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65.5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5.25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35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E = Schätzung (Quelle: LLM-Ableitung aus IR-Dokumenten — niedrige Konfidenz) | </w:t>
            </w:r>
          </w:p>
        </w:tc>
      </w:tr>
      <w:t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3"/>
                <w:szCs w:val="13"/>
              </w:rPr>
              <w:t xml:space="preserve">📊 2028E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285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66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6.3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35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E = Schätzung (Quelle: LLM-Ableitung aus IR-Dokumenten — niedrige Konfidenz) | </w:t>
            </w:r>
          </w:p>
        </w:tc>
      </w:tr>
      <w:t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57575"/>
                <w:sz w:val="12"/>
                <w:szCs w:val="12"/>
              </w:rPr>
              <w:t xml:space="preserve">ℹ</w:t>
            </w:r>
          </w:p>
        </w:tc>
        <w:tc>
          <w:tcPr>
            <w:tcW w:type="dxa" w:w="10012"/>
            <w:gridSpan w:val="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1"/>
                <w:szCs w:val="11"/>
              </w:rPr>
              <w:t xml:space="preserve">A = Istzahlen (geprüft)  |  📊 E = Schätzwert  |  Forward-Schätzungen: Approximation — kein Ersatz für Bloomberg/FactSet</w:t>
            </w:r>
          </w:p>
        </w:tc>
      </w:tr>
    </w:tbl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4.  Bewertung gegenüber Peer und Historischen Kennzahlen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2400"/>
        <w:gridCol w:w="3372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Kennzahl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Aktuell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Peer-Median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Hist. Ø 5J</w:t>
            </w:r>
          </w:p>
        </w:tc>
        <w:tc>
          <w:tcPr>
            <w:tcW w:type="dxa" w:w="33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Einschätzung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Forward P/E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19.0x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22.4x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52.0x (5Y Ø)</w:t>
            </w:r>
          </w:p>
        </w:tc>
        <w:tc>
          <w:tcPr>
            <w:tcW w:type="dxa" w:w="33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3"/>
                <w:szCs w:val="13"/>
              </w:rPr>
              <w:t xml:space="preserve">DISCOUNT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EV/EBITDA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39.9x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42.8x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n/a</w:t>
            </w:r>
          </w:p>
        </w:tc>
        <w:tc>
          <w:tcPr>
            <w:tcW w:type="dxa" w:w="33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3"/>
                <w:szCs w:val="13"/>
              </w:rPr>
              <w:t xml:space="preserve">DISCOUNT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EV/Sales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24.5x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n/a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22.5x (5Y Ø)</w:t>
            </w:r>
          </w:p>
        </w:tc>
        <w:tc>
          <w:tcPr>
            <w:tcW w:type="dxa" w:w="33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ELEVATED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P/FCF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55.3x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n/a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n/a</w:t>
            </w:r>
          </w:p>
        </w:tc>
        <w:tc>
          <w:tcPr>
            <w:tcW w:type="dxa" w:w="33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ELEVATED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EBIT Margin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65.0%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37.4%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16.5% (2023A)</w:t>
            </w:r>
          </w:p>
        </w:tc>
        <w:tc>
          <w:tcPr>
            <w:tcW w:type="dxa" w:w="33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3"/>
                <w:szCs w:val="13"/>
              </w:rPr>
              <w:t xml:space="preserve">FAIR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ROIC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101.5%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29.9%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12.8% (2023A)</w:t>
            </w:r>
          </w:p>
        </w:tc>
        <w:tc>
          <w:tcPr>
            <w:tcW w:type="dxa" w:w="33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3"/>
                <w:szCs w:val="13"/>
              </w:rPr>
              <w:t xml:space="preserve">FAIR</w:t>
            </w:r>
          </w:p>
        </w:tc>
      </w:tr>
    </w:tbl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5.  Peer-Vergleich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960"/>
        <w:gridCol w:w="880"/>
        <w:gridCol w:w="880"/>
        <w:gridCol w:w="960"/>
        <w:gridCol w:w="880"/>
        <w:gridCol w:w="2812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Unternehmen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Land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EV/EBITDA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Fwd. P/E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EBIT-%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ND/EBITDA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Div.-%</w:t>
            </w:r>
          </w:p>
        </w:tc>
        <w:tc>
          <w:tcPr>
            <w:tcW w:type="dxa" w:w="281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Wachstum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Broadcom Inc.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United States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53.7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22.5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44.9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1.39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n/v</w:t>
            </w:r>
          </w:p>
        </w:tc>
        <w:tc>
          <w:tcPr>
            <w:tcW w:type="dxa" w:w="281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29.5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Advanced Micro Devices, Inc.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United States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89.7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32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14.4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-1.14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n/v</w:t>
            </w:r>
          </w:p>
        </w:tc>
        <w:tc>
          <w:tcPr>
            <w:tcW w:type="dxa" w:w="281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37.8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Micron Technology, Inc.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United States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21.3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6.8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67.6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-0.1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9</w:t>
            </w:r>
          </w:p>
        </w:tc>
        <w:tc>
          <w:tcPr>
            <w:tcW w:type="dxa" w:w="281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196.3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QUALCOMM Incorporated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United States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16.3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18.4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22.1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0.42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n/v</w:t>
            </w:r>
          </w:p>
        </w:tc>
        <w:tc>
          <w:tcPr>
            <w:tcW w:type="dxa" w:w="281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-3.5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Texas Instruments Incorporated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United States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32.8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32.1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37.8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1.03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n/v</w:t>
            </w:r>
          </w:p>
        </w:tc>
        <w:tc>
          <w:tcPr>
            <w:tcW w:type="dxa" w:w="281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18.6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Ø  Sektor-Durchschnitt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n/v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42.76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22.36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37.36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0.32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n/v</w:t>
            </w:r>
          </w:p>
        </w:tc>
        <w:tc>
          <w:tcPr>
            <w:tcW w:type="dxa" w:w="281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55.74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⭐ NVIDIA Corporation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United States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3"/>
                <w:szCs w:val="13"/>
              </w:rPr>
              <w:t xml:space="preserve">39.9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3"/>
                <w:szCs w:val="13"/>
              </w:rPr>
              <w:t xml:space="preserve">19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3"/>
                <w:szCs w:val="13"/>
              </w:rPr>
              <w:t xml:space="preserve">65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3"/>
                <w:szCs w:val="13"/>
              </w:rPr>
              <w:t xml:space="preserve">-0.38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3"/>
                <w:szCs w:val="13"/>
              </w:rPr>
              <w:t xml:space="preserve">2</w:t>
            </w:r>
          </w:p>
        </w:tc>
        <w:tc>
          <w:tcPr>
            <w:tcW w:type="dxa" w:w="281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3"/>
                <w:szCs w:val="13"/>
              </w:rPr>
              <w:t xml:space="preserve">73.2</w:t>
            </w:r>
          </w:p>
        </w:tc>
      </w:tr>
    </w:tbl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6.  Szenarien — Bear / Base / Bull Case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0"/>
        <w:gridCol w:w="3590"/>
        <w:gridCol w:w="3592"/>
      </w:tblGrid>
      <w:tr>
        <w:tc>
          <w:tcPr>
            <w:tcW w:type="dxa" w:w="3590"/>
            <w:tcBorders>
              <w:top w:val="single" w:color="E53935" w:sz="8"/>
              <w:left w:val="single" w:color="E53935" w:sz="8"/>
              <w:bottom w:val="single" w:color="E53935" w:sz="2"/>
              <w:right w:val="single" w:color="E53935" w:sz="2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🐻  Bear Case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4"/>
                <w:szCs w:val="24"/>
              </w:rPr>
              <w:t xml:space="preserve">140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57575"/>
                <w:sz w:val="13"/>
                <w:szCs w:val="13"/>
              </w:rPr>
              <w:t xml:space="preserve">Wahrscheinlichkeit: 30%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2"/>
                <w:szCs w:val="12"/>
              </w:rPr>
              <w:t xml:space="preserve">Kernannahme: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AI-Hyperscaler-Capex normalisiert sich schneller als erwartet, während höhere Renditen die Multiple-Kompression verstärken und die 2026E-Umsatzannahme verfehlt wird.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2"/>
                <w:szCs w:val="12"/>
              </w:rPr>
              <w:t xml:space="preserve">Auslöser: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Q1/Q2 zeigen Revenue-Guidance unter dem 175 Mrd. USD 2026E-Pfad oder Data-Center-Wachstum verlangsamt sich deutlich zweistellig unter den erwarteten Raten.</w:t>
            </w:r>
          </w:p>
        </w:tc>
        <w:tc>
          <w:tcPr>
            <w:tcW w:type="dxa" w:w="3590"/>
            <w:tcBorders>
              <w:top w:val="single" w:color="F9A825" w:sz="8"/>
              <w:left w:val="single" w:color="F9A825" w:sz="8"/>
              <w:bottom w:val="single" w:color="F9A825" w:sz="2"/>
              <w:right w:val="single" w:color="F9A825" w:sz="2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⚖️  Base Case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4"/>
                <w:szCs w:val="24"/>
              </w:rPr>
              <w:t xml:space="preserve">220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57575"/>
                <w:sz w:val="13"/>
                <w:szCs w:val="13"/>
              </w:rPr>
              <w:t xml:space="preserve">Wahrscheinlichkeit: 50%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2"/>
                <w:szCs w:val="12"/>
              </w:rPr>
              <w:t xml:space="preserve">Kernannahme: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NVDA liefert weiter sehr starkes Wachstum, aber die Bewertung bleibt wegen hoher Zinsen und selektiver Multiple-Kompression weitgehend seitwärts.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2"/>
                <w:szCs w:val="12"/>
              </w:rPr>
              <w:t xml:space="preserve">Auslöser: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Umsatz- und EPS-Schätzungen treffen ungefähr den 2026E-Pfad, während der Markt das KGV zwischen 18x und 22x hält.</w:t>
            </w:r>
          </w:p>
        </w:tc>
        <w:tc>
          <w:tcPr>
            <w:tcW w:type="dxa" w:w="3592"/>
            <w:tcBorders>
              <w:top w:val="single" w:color="43A047" w:sz="8"/>
              <w:left w:val="single" w:color="43A047" w:sz="8"/>
              <w:bottom w:val="single" w:color="43A047" w:sz="2"/>
              <w:right w:val="single" w:color="43A047" w:sz="2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🐂  Bull Case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280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57575"/>
                <w:sz w:val="13"/>
                <w:szCs w:val="13"/>
              </w:rPr>
              <w:t xml:space="preserve">Wahrscheinlichkeit: 20%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2"/>
                <w:szCs w:val="12"/>
              </w:rPr>
              <w:t xml:space="preserve">Kernannahme: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AI-Nachfrage bleibt länger hoch, Margen bleiben nahe den oberen Prognosen, und sinkende Renditen lösen ein erneutes Premium-Multiple aus.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2"/>
                <w:szCs w:val="12"/>
              </w:rPr>
              <w:t xml:space="preserve">Auslöser: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Data-Center-Wachstum beschleunigt erneut, Forward P/E bleibt über 20x bei steigenden Konsensschätzungen und das Analystenziel von 275 USD wird vom Markt bestätigt.</w:t>
            </w:r>
          </w:p>
        </w:tc>
      </w:tr>
    </w:tbl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7.  Quantifizierte Risiken &amp; Conviction Killers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Quantifizierte Risiken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Steigende US 10Y/2Y Renditen (+31bp/+33bp in 10d) erhöhen Diskontsatz für Wachstumswerte → DCF-basierter Fair Value sinkt um 10-15%, ohne dass dies in Fundamental-Bewertung reflektiert wurde. Bei duration-heavy NVDA ist das ein materielles Bewertungsrisiko (kurzfristig).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Geopolitische Exportkontrollen und China-Absatzbeschränkungen für High-End AI-Accelerators: 10% Umsatzausfall im Data-Center-Segment entspricht ca. 17.5 Mrd. USD Revenue und 285 Mrd. USD Equity Value-Risiko bei 25x Multiple (strukturell).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Nachfragenormalisierung im AI-Investitionszyklus: Wenn Hyperscaler-Capex nur 10% unter 2026E-Pfad liegt und EBITDA-Marge 2pp niedriger, entspricht das ca. 560 Mrd. USD EV-Abschlag bei 39.9x EV/EBITDA. Keine Evidenz für harte Guidance-Cuts, aber Risiko latent (mittelfristig).</w:t>
            </w:r>
          </w:p>
        </w:tc>
        <w:tc>
          <w:tcPr>
            <w:tcW w:type="dxa" w:w="53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5"/>
                <w:szCs w:val="15"/>
              </w:rPr>
              <w:t xml:space="preserve">🚨  Conviction Killers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2"/>
                <w:szCs w:val="12"/>
              </w:rPr>
              <w:t xml:space="preserve">Datenpunkte die den Investment Case sofort entkräften: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5"/>
                <w:szCs w:val="15"/>
              </w:rPr>
              <w:t xml:space="preserve">⚠  Wenn das Data-Center-Wachstum oder die Gesamtumsatz-Guidance signifikant unter den 2026E-175-Mrd.-USD-Pfad fällt, ist die gesamte Hochwachstums-/Premium-Multiple-These sofort invalidiert.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2"/>
                <w:szCs w:val="12"/>
              </w:rPr>
              <w:t xml:space="preserve">  → Monitor: Watch next earnings: Data Center revenue growth and total company revenue guidance — if guided 10%+ below the implied run-rate or sequential growth decelerates sharply, the thesis breaks.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5"/>
                <w:szCs w:val="15"/>
              </w:rPr>
              <w:t xml:space="preserve">⚠  Wenn die Bewertung trotz guter Zahlen nicht mehr auf positive Überraschungen reagiert und das Forward P/E dauerhaft unter 20x bleibt, signalisiert das ein Ende der AI-Multiple-Expansion.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2"/>
                <w:szCs w:val="12"/>
              </w:rPr>
              <w:t xml:space="preserve">  → Monitor: Watch forward P/E and post-earnings price reaction — if strong beats fail to lift the stock and the multiple de-rates below 20x for two consecutive quarters, invalidate the bull setup.</w:t>
            </w:r>
          </w:p>
        </w:tc>
      </w:tr>
    </w:tbl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8.  Makro-Ampel &amp; Sentiment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7972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Beobachtungsbereich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Signal</w:t>
            </w:r>
          </w:p>
        </w:tc>
        <w:tc>
          <w:tcPr>
            <w:tcW w:type="dxa" w:w="79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Einschätzung &amp; Transmissionsmechanismus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Makro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negativ</w:t>
            </w:r>
          </w:p>
        </w:tc>
        <w:tc>
          <w:tcPr>
            <w:tcW w:type="dxa" w:w="79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Steigende US-Renditen (10Y +31bp, 2Y +33bp in 10d), Inflationsdruck und Risk-off Umfeld belasten Wachstumsbewertungen → klarer headwind für NVDA-Multiple trotz operativer Stärke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Branche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3"/>
                <w:szCs w:val="13"/>
              </w:rPr>
              <w:t xml:space="preserve">positiv</w:t>
            </w:r>
          </w:p>
        </w:tc>
        <w:tc>
          <w:tcPr>
            <w:tcW w:type="dxa" w:w="79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AI-Accelerator- und Chip-Demand zeigen tailwind, Foundry-Utilization neutral, keine akute Lieferkettenkrise → Sektor bleibt strukturell unterstützend für Data-Center-Nachfrage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Unternehmen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3"/>
                <w:szCs w:val="13"/>
              </w:rPr>
              <w:t xml:space="preserve">positiv</w:t>
            </w:r>
          </w:p>
        </w:tc>
        <w:tc>
          <w:tcPr>
            <w:tcW w:type="dxa" w:w="79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Außergewöhnliche operative Performance: 65% EBIT-Marge, 101.5% ROIC, 73.2% Revenue Growth, Netto-Cash-Position → fundamentale Qualität klar über Sektor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Konkurrenz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3"/>
                <w:szCs w:val="13"/>
              </w:rPr>
              <w:t xml:space="preserve">neutral</w:t>
            </w:r>
          </w:p>
        </w:tc>
        <w:tc>
          <w:tcPr>
            <w:tcW w:type="dxa" w:w="79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NVDA liegt bei Forward P/E -15% und EV/EBITDA -6.7% unter Peer-Ø, aber mit +74% höherer EBIT-Marge und +239% höherem ROIC → relative Bewertung erscheint fair, nicht billig oder teuer</w:t>
            </w:r>
          </w:p>
        </w:tc>
      </w:tr>
    </w:tbl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9.  Finale Begründung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Fundamental: Bewertung zeigt widersprüchliche Signale — Forward P/E 19.0x und EV/EBITDA 39.9x liegen 15% bzw. 7% unter Peer-Ø, aber Trailing P/E 45x und P/FCF 55x sind stark elevated. Fair Value 132 USD basiert auf LLM-Ableitung niedriger Konfidenz und ignoriert, dass NVDA mit 65% EBIT-Marge (+74% vs. Peers) und 101.5% ROIC (+239% vs. Peers) ein strukturelles Quality-Premium verdient. Peer-Vergleich stützt HALTEN statt VERKAUFEN. | Makro: Klarer headwind durch steigende US-Renditen (+31bp 10Y, +33bp 2Y in 10d), Inflationsdruck und Risk-off Umfeld — DCF-basierter Fair Value sinkt um 10-15%, ohne dass dies in Fundamental-Bewertung reflektiert wurde. Makro-Ampel: negativ. | Risk: Advocatus Diaboli zeigt, dass Verkaufsthese methodisch schwach ist (selektive Multiple-Wahl, keine DCF-Rate-Anpassung für Zinsen, Ignorieren von Analystenziel 275 USD). Hauptrisiko ist nicht Überbewertung per se, sondern dass 2026E-2028E Umsatzpfade bei Nachfragenormalisierung verfehlt werden — aber dafür fehlt aktuell ein klarer Katalysator. 2 Conviction Killers aktiv: Data-Center-Guidance und Forward P/E-Persistenz. | Gewichtetes Fazit (Sentiment 7/10 → Normalgewichtung): Score = (Upside -0.3% × 0.70) + (Sentiment 70 × 0.10) + (Risk -5 wegen 2 Conviction Killers und Makro headwind × 0.20) = -0.21 + 7.0 - 1.0 = 5.79 → HALTEN. Conviction niedrig wegen Widersprüche zwischen Agenten (Fundamental korrigiert auf HALTEN, Risk auf VERKAUFEN, News leicht positiv) und 2 aktiven Conviction Killers. Peer-Vergleich rechtfertigt aktuelles Bewertungsniveau als fair, nicht billig — kein klarer Kauffall, aber auch kein zwingender Verkaufsgrund ohne negativen Katalysator. Empfehlung: HALTEN bis nächste Earnings klären, ob Data-Center-Wachstum anhält oder normalisiert.</w:t>
            </w:r>
          </w:p>
        </w:tc>
      </w:tr>
    </w:tbl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10.  Quellen &amp; Literaturverzeichnis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3"/>
          <w:szCs w:val="13"/>
        </w:rPr>
        <w:t xml:space="preserve">[1]  yfinance (Kursdaten, Finanzkennzahlen, Peer-Vergleich)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3"/>
          <w:szCs w:val="13"/>
        </w:rPr>
        <w:t xml:space="preserve">[2]  Finnhub (Forward-Estimates Validierung)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3"/>
          <w:szCs w:val="13"/>
        </w:rPr>
        <w:t xml:space="preserve">[3]  SEC EDGAR 10-K/10-Q (IR-Dokumente — Datenqualität: niedrig)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3"/>
          <w:szCs w:val="13"/>
        </w:rPr>
        <w:t xml:space="preserve">[4]  LLM-Ableitung aus IR-Dokumenten (Forward-Estimates 2026E-2028E — Konfidenz: mittel)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3"/>
          <w:szCs w:val="13"/>
        </w:rPr>
        <w:t xml:space="preserve">[5]  News-Agent (Reuters, Yahoo Finance, NVIDIA News, FinancialContent)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3"/>
          <w:szCs w:val="13"/>
        </w:rPr>
        <w:t xml:space="preserve">[6]  Risk-Agent Szenarien und Conviction Killers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2"/>
                <w:szCs w:val="12"/>
              </w:rPr>
              <w:t xml:space="preserve">DISCLAIMER: Dieses Dokument wurde automatisch durch den KI-Co-Analysten generiert (Bachelor Thesis BFH 2025/26, Luca Lüdi) und dient ausschliesslich zu Forschungs- und Demonstrationszwecken. Es stellt keine Anlageberatung dar (Art. 3 lit. c FIDLEG). Forward-Schätzungen sind Approximationen — kein Ersatz für Bloomberg/FactSet.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84" w:right="567" w:bottom="284" w:left="567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spacing w:after="0" w:before="60"/>
    </w:pPr>
    <w:r>
      <w:rPr>
        <w:rFonts w:ascii="Arial" w:cs="Arial" w:eastAsia="Arial" w:hAnsi="Arial"/>
        <w:b/>
        <w:bCs/>
        <w:i w:val="false"/>
        <w:iCs w:val="false"/>
        <w:color w:val="B8860B"/>
        <w:sz w:val="12"/>
        <w:szCs w:val="12"/>
      </w:rPr>
      <w:t xml:space="preserve">HALTEN  |  Kursziel USD 220  |  Upside -0.28%</w:t>
    </w:r>
    <w:r>
      <w:rPr>
        <w:rFonts w:ascii="Arial" w:cs="Arial" w:eastAsia="Arial" w:hAnsi="Arial"/>
        <w:b w:val="false"/>
        <w:bCs w:val="false"/>
        <w:i w:val="false"/>
        <w:iCs w:val="false"/>
        <w:color w:val="757575"/>
        <w:sz w:val="12"/>
        <w:szCs w:val="12"/>
      </w:rPr>
      <w:t xml:space="preserve">        Seite </w:t>
    </w:r>
    <w:r>
      <w:rPr>
        <w:rFonts w:ascii="Arial" w:cs="Arial" w:eastAsia="Arial" w:hAnsi="Arial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757575"/>
        <w:sz w:val="12"/>
        <w:szCs w:val="12"/>
      </w:rPr>
      <w:t xml:space="preserve"> / </w:t>
    </w:r>
    <w:r>
      <w:rPr>
        <w:rFonts w:ascii="Arial" w:cs="Arial" w:eastAsia="Arial" w:hAnsi="Arial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spacing w:after="60" w:before="0"/>
    </w:pPr>
    <w:r>
      <w:rPr>
        <w:rFonts w:ascii="Arial" w:cs="Arial" w:eastAsia="Arial" w:hAnsi="Arial"/>
        <w:b/>
        <w:bCs/>
        <w:i w:val="false"/>
        <w:iCs w:val="false"/>
        <w:color w:val="1F3864"/>
        <w:sz w:val="13"/>
        <w:szCs w:val="13"/>
      </w:rPr>
      <w:t xml:space="preserve">NVIDIA Corporation  (NVDA)</w:t>
    </w:r>
    <w:r>
      <w:rPr>
        <w:rFonts w:ascii="Arial" w:cs="Arial" w:eastAsia="Arial" w:hAnsi="Arial"/>
        <w:b w:val="false"/>
        <w:bCs w:val="false"/>
        <w:i w:val="false"/>
        <w:iCs w:val="false"/>
        <w:color w:val="757575"/>
        <w:sz w:val="12"/>
        <w:szCs w:val="12"/>
      </w:rPr>
      <w:t xml:space="preserve">    KI-Co-Analyst  ·  BFH 2025/26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2026-05-20T11:30:15.349Z</dcterms:created>
  <dcterms:modified xsi:type="dcterms:W3CDTF">2026-05-20T11:30:15.350Z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