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gridSpan w:val="1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Lonza Group AG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EC5"/>
                <w:sz w:val="16"/>
                <w:szCs w:val="16"/>
              </w:rPr>
              <w:t xml:space="preserve">LONN.SW  ·  Healthcare / Life Sciences Tools &amp; Services  ·  2026-05-19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8909C"/>
                <w:sz w:val="14"/>
                <w:szCs w:val="14"/>
              </w:rPr>
              <w:t xml:space="preserve">KI-Co-Analyst  ·  BFH Bachelor Thesis 2025/26  ·  Luca Lüdi</w:t>
            </w:r>
          </w:p>
        </w:tc>
        <w:tc>
          <w:tcPr>
            <w:tcW w:type="dxa" w:w="3160"/>
            <w:gridSpan w:val="1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BEC5"/>
                <w:sz w:val="14"/>
                <w:szCs w:val="14"/>
              </w:rPr>
              <w:t xml:space="preserve">Empfehlung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8"/>
                <w:szCs w:val="28"/>
              </w:rPr>
              <w:t xml:space="preserve">UNTERGEWICHTEN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909C"/>
                <w:sz w:val="14"/>
                <w:szCs w:val="14"/>
              </w:rPr>
              <w:t xml:space="preserve">vorher: n/v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3"/>
                <w:szCs w:val="13"/>
              </w:rPr>
              <w:t xml:space="preserve">Aktueller Kurs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CHF 488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3"/>
                <w:szCs w:val="13"/>
              </w:rPr>
              <w:t xml:space="preserve">Kursziel (12M)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CHF 460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3"/>
                <w:szCs w:val="13"/>
              </w:rPr>
              <w:t xml:space="preserve">Upside / Downside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-5.7%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3"/>
                <w:szCs w:val="13"/>
              </w:rPr>
              <w:t xml:space="preserve">Marktkapitalisierung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n/v</w:t>
            </w:r>
          </w:p>
        </w:tc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3"/>
                <w:szCs w:val="13"/>
              </w:rPr>
              <w:t xml:space="preserve">Conviction Level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mittel</w:t>
            </w:r>
          </w:p>
        </w:tc>
      </w:tr>
    </w:tbl>
    <w:p>
      <w:pPr>
        <w:spacing w:after="80" w:before="0"/>
        <w:jc w:val="left"/>
      </w:pP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  Unternehmensbeschreibung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Lonza Group AG ist ein führendes Schweizer Unternehmen im Bereich Life Sciences Tools &amp; Services und hat sich nach dem Verkauf des Capsules &amp; Health Ingredients-Geschäfts (EV CHF 2.3 Mrd. an Lone Star Funds, März 2026) zu einem reinen CDMO (Contract Development and Manufacturing Organization) für die Pharma- und Biotech-Industrie transformiert. Das Unternehmen erbringt Entwicklungs- und Produktionsdienstleistungen für komplexe biologische und chemische APIs sowie Fertigarzneimittel und hat 2025 die Integration des Vacaville-Standorts erfolgreich abgeschlossen. Lonza ist global präsent, mit bedeutenden Umsätzen in den USA (USD-Exponierung) und Europa, und positioniert sich als Premium-Anbieter in einem wachsenden, aber zunehmend wettbewerbsintensiven CDMO-Markt.</w:t>
      </w: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2.  Investment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▌</w:t>
            </w:r>
          </w:p>
        </w:tc>
        <w:tc>
          <w:tcPr>
            <w:tcW w:type="dxa" w:w="9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Strategische Transformation zum Pure-Play-CDMO abgeschlossen: Verkauf von Capsules &amp; Health Ingredients für CHF 2.3 Mrd. schafft Fokus und reduziert Komplexität. Management meldet 'starkes profitables Wachstum' 2025.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Quelle: EQS News / Lonza IR (März 2026)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▌</w:t>
            </w:r>
          </w:p>
        </w:tc>
        <w:tc>
          <w:tcPr>
            <w:tcW w:type="dxa" w:w="9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Vacaville-Integration erfolgreich: Offizielle Bestätigung der erfolgreichen Integration durch Management; erwartet werden Synergien in Auslastung und Skalierung im US-CDMO-Geschäft.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Quelle: EQS News / Lonza (Januar 2026)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▌</w:t>
            </w:r>
          </w:p>
        </w:tc>
        <w:tc>
          <w:tcPr>
            <w:tcW w:type="dxa" w:w="9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Bewertung oberhalb historischer und Peer-Niveaus: Trailing P/E 37.5x, Forward P/E 22.4x, EV/EBITDA 17.2x — deutlich über typischen CDMO-Multiples; Kurs -8.4% in 3 Monaten trotz positivem Newsflow zeigt eingepreiste Erwartungen.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Quelle: yfinance Marktdaten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▌</w:t>
            </w:r>
          </w:p>
        </w:tc>
        <w:tc>
          <w:tcPr>
            <w:tcW w:type="dxa" w:w="9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Makro-Headwind durch steigende US-Renditen: US 10Y +30.1bp, US 2Y +31.4bp in 10 Tagen erhöhen Diskontrate und belasten Kundennachfrage; neutrale Industrie-Nachfrage (clinical trials, diagnostics, R&amp;D funding) bietet keinen zusätzlichen Rückenwind.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Quelle: yfinance (Treasury Yields), Reuters (Inflationssorgen)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▌</w:t>
            </w:r>
          </w:p>
        </w:tc>
        <w:tc>
          <w:tcPr>
            <w:tcW w:type="dxa" w:w="9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CDMO-Konzentration erhöht operatives Risiko: Nach Divestment wegfallende Diversifikation; Abhängigkeit von wenigen Large-Scale-Programmen und GMP-Qualitätsanforderungen steigt; Board-Changes (3 Mitglieder treten ab) erhöhen Governance-Unsicherheit.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Quelle: Lonza IR (AGM 2026), Risk-Agent Analyse</w:t>
            </w:r>
          </w:p>
        </w:tc>
      </w:tr>
    </w:tbl>
    <w:p>
      <w:pPr>
        <w:spacing w:after="80" w:before="0"/>
        <w:jc w:val="left"/>
      </w:pPr>
    </w:p>
    <w:p>
      <w:r>
        <w:br w:type="page"/>
      </w: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  Finanzübersicht (in Mrd. Berichtswährung, ausser je Aktie)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7"/>
          <w:szCs w:val="17"/>
        </w:rPr>
        <w:t xml:space="preserve">Keine Finanzdaten verfügbar.</w:t>
      </w:r>
    </w:p>
    <w:p>
      <w:pPr>
        <w:spacing w:after="80" w:before="200"/>
        <w:jc w:val="left"/>
      </w:pP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  Bewertung — ELEVATED / FAIR / DISCOUNT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300"/>
        <w:gridCol w:w="1260"/>
        <w:gridCol w:w="1500"/>
        <w:gridCol w:w="2200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Kennzahl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Aktuell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Peer-Median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Hist. Ø 5J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Einschätzung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Herleitung / Quelle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Trailing P/E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37.5x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🔴 ELEVATED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yfinance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Forward P/E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22.4x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🔴 ELEVATED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yfinance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EV/EBITDA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17.2x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🔴 ELEVATED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yfinance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EV/Sales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5.6x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🔴 ELEVATED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yfinance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PEG Ratio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2.51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🔴 ELEVATED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yfinance</w:t>
            </w:r>
          </w:p>
        </w:tc>
      </w:tr>
    </w:tbl>
    <w:p>
      <w:pPr>
        <w:spacing w:after="80" w:before="200"/>
        <w:jc w:val="left"/>
      </w:pP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5.  Peer-Vergleich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7"/>
          <w:szCs w:val="17"/>
        </w:rPr>
        <w:t xml:space="preserve">Kein Peer-Vergleich verfügbar.</w:t>
      </w:r>
    </w:p>
    <w:p>
      <w:r>
        <w:br w:type="page"/>
      </w: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  Szenarien — Bear / Base / Bull Case</w:t>
      </w:r>
    </w:p>
    <w:tbl>
      <w:tblPr>
        <w:tblW w:type="dxa" w:w="9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  <w:gridCol w:w="160"/>
      </w:tblGrid>
      <w:tr>
        <w:tc>
          <w:tcPr>
            <w:tcW w:type="dxa" w:w="3066"/>
            <w:tcBorders>
              <w:top w:val="single" w:color="E53935" w:sz="8"/>
              <w:left w:val="single" w:color="E53935" w:sz="8"/>
              <w:bottom w:val="single" w:color="E53935" w:sz="2"/>
              <w:right w:val="single" w:color="E53935" w:sz="2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🐻  Bear Case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30"/>
                <w:szCs w:val="30"/>
              </w:rPr>
              <w:t xml:space="preserve">380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6"/>
                <w:szCs w:val="16"/>
              </w:rPr>
              <w:t xml:space="preserve">Wahrscheinlichkeit: 35%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Kernannahme: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Die Margen- und Wachstumsannahmen nach Pure-Play-CDMO/Vacaville sind zu hoch; Zinsen bleiben erhöht und der Markt de-rated die Aktie auf ein niedrigeres Premium-Multiple.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Auslöser: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Q1/Q2-2026 zeigt schwächeres organisches Wachstum oder eine verfehlte EBIT-Marge; der Markt senkt den Forward P/E unter 19x.</w:t>
            </w:r>
          </w:p>
        </w:tc>
        <w:tc>
          <w:tcPr>
            <w:tcW w:type="dxa" w:w="3066"/>
            <w:tcBorders>
              <w:top w:val="single" w:color="F9A825" w:sz="8"/>
              <w:left w:val="single" w:color="F9A825" w:sz="8"/>
              <w:bottom w:val="single" w:color="F9A825" w:sz="2"/>
              <w:right w:val="single" w:color="F9A825" w:sz="2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⚖️  Base Case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30"/>
                <w:szCs w:val="30"/>
              </w:rPr>
              <w:t xml:space="preserve">495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6"/>
                <w:szCs w:val="16"/>
              </w:rPr>
              <w:t xml:space="preserve">Wahrscheinlichkeit: 45%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Kernannahme: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Lonza liefert solide, aber unspektakuläre operative Umsetzung; gute Strategie, aber kein zusätzlicher Bewertungsaufschlag.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Auslöser: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Management bestätigt die Jahresziele, ohne die Konsensschätzungen deutlich zu übertreffen; Kurs bleibt in einer engen Spanne um den aktuellen Stand.</w:t>
            </w:r>
          </w:p>
        </w:tc>
        <w:tc>
          <w:tcPr>
            <w:tcW w:type="dxa" w:w="3066"/>
            <w:tcBorders>
              <w:top w:val="single" w:color="43A047" w:sz="8"/>
              <w:left w:val="single" w:color="43A047" w:sz="8"/>
              <w:bottom w:val="single" w:color="43A047" w:sz="2"/>
              <w:right w:val="single" w:color="43A047" w:sz="2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🐂  Bull Case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30"/>
                <w:szCs w:val="30"/>
              </w:rPr>
              <w:t xml:space="preserve">675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6"/>
                <w:szCs w:val="16"/>
              </w:rPr>
              <w:t xml:space="preserve">Wahrscheinlichkeit: 20%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Kernannahme: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Vacaville liefert schneller als erwartet, das Pure-Play-CDMO-Setup gewinnt Vertrauen, und die Zins-/Makrobelastung entspannt sich.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4"/>
                <w:szCs w:val="14"/>
              </w:rPr>
              <w:t xml:space="preserve">Auslöser: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Mehrere Quartale mit zweistelligem Wachstum im CDMO-Kerngeschäft, positiver Margin-Revision und Rückgang der Treasury-Renditen, sodass der Markt den Bewertungsaufschlag wieder erhöht.</w:t>
            </w:r>
          </w:p>
        </w:tc>
        <w:tc>
          <w:tcPr>
            <w:tcW w:type="dxa" w:w="16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  <w:jc w:val="left"/>
      </w:pP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  Quantifizierte Risiken &amp; Conviction Killers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Quantifizierte Risiken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Execution-Risiko bei Vacaville-Synergien: Wenn erwartete Auslastungsverbesserungen und Kostensynergien nicht eintreten, droht eine Verfehlung der Konsensmargen um 3-5%, was bei 22.4x Forward P/E ein Kursrisiko von -7% bis -11% bedeutet (kurzfristig).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Makro-Headwind durch steigende US-Renditen: +30bp US 10Y und +31bp US 2Y erhöhen die Equity-Discount-Rate um 25-35bp → DCF-Abwertung -4% bis -7%; parallel belasten höhere Finanzierungskosten Biotech-/Pharma-Kunden und können CDMO-Auftragseingang um -2% bis -4% dämpfen (kurzfristig bis mittelfristig).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Bewertungsrisiko bei hohem Multiple: Bei Kompression des Forward P/E von 22.4x auf 18x (ohne Gewinnrevision) liegt der Kurs rund -20% tiefer; bei gleichzeitiger EPS-Revision von -5% wäre das Abwärtsrisiko -24% bis -25% (mittelfristig).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CDMO-Konzentration nach Divestment: Höhere Abhängigkeit von einzelnen Large-Scale-Programmen und GMP-Qualität; ein bedeutendes regulatorisches Ereignis oder Kundenverlust könnte 1-2% Konzernumsatz und überproportional EBIT beeinträchtigen (strukturell).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🚨  Conviction Killers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Datenpunkte die den Investment Case sofort entkräften: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B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62828"/>
                      <w:sz w:val="15"/>
                      <w:szCs w:val="15"/>
                    </w:rPr>
                    <w:t xml:space="preserve">⚠  Ein einziges schwaches Quartal mit klarer Verfehlung bei organischem Wachstum oder EBIT-Marge nach der Vacaville-Integration würde die Premium-These sofort beschädigen.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→ Monitor: Nächstes Quartal: organisches Wachstum und bereinigte EBIT-Marge; wenn Wachstum unter Konsens liegt oder die Marge nicht mindestens stabil bleibt, ist die Bull-These invalidiert.</w:t>
                  </w:r>
                </w:p>
              </w:tc>
            </w:tr>
          </w:tbl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B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62828"/>
                      <w:sz w:val="15"/>
                      <w:szCs w:val="15"/>
                    </w:rPr>
                    <w:t xml:space="preserve">⚠  Falls der Markt den Forward P/E von 22.4x trotz weiterhin positiver Newsflow auf unter 18x abbaut, ist der Bewertungsanker gebrochen und das Upside-Case weg.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→ Monitor: Tägliche/wöchentliche Bewertung: Forward P/E und Kursreaktion nach Earnings; Schwelle &lt;18x oder Kurs &lt;CHF 454.6 (52W-Tief) wäre ein klarer Bruch.</w:t>
                  </w:r>
                </w:p>
              </w:tc>
            </w:tr>
          </w:tbl>
          <w:p/>
        </w:tc>
      </w:tr>
    </w:tbl>
    <w:p>
      <w:pPr>
        <w:spacing w:after="80" w:before="200"/>
        <w:jc w:val="left"/>
      </w:pP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8.  Makro-Ampel &amp;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646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Beobachtungsbereich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Signal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Einschätzung &amp; Transmissionsmechanismus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Makro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5"/>
                <w:szCs w:val="15"/>
              </w:rPr>
              <w:t xml:space="preserve">🔴 negativ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Steigende US-Renditen (10Y +30bp, 2Y +31bp) und Inflationssorgen erhöhen Diskontrate und Risikoprämien; stärkerer USD (+1.1% USDCHF) wirkt nur teilweise offsettend → Netto-Headwind für CHF-notierte High-Duration-Titel.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Branche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🟡 neutral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Keine aktuellen Impulse bei clinical trials, diagnostic volumes, R&amp;D funding oder lab reimbursement; CDMO-Nachfrage bleibt stabil, aber ohne zusätzlichen Beschleuniger → neutrale Industrie-Dynamik.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Unternehmen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🟢 positiv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Strategische Transformation zum Pure-Play-CDMO abgeschlossen (CHI-Divestment CHF 2.3 Mrd.); Vacaville-Integration erfolgreich kommuniziert; Management meldet starkes profitables Wachstum 2025 → operative Fortschritte vorhanden.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Konkurrenz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🟡 neutral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Kein Peer-Vergleich verfügbar; qualitativ bleibt Lonza Premium-Anbieter im CDMO-Segment, aber hohe Bewertung (Trailing P/E 37.5x, Forward P/E 22.4x) lässt wenig Differenzierungsspielraum → Wettbewerbsposition unklar.</w:t>
            </w:r>
          </w:p>
        </w:tc>
      </w:tr>
    </w:tbl>
    <w:p>
      <w:r>
        <w:br w:type="page"/>
      </w: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9.  Qualitätsprüfung &amp; Konsistenz-Score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57575"/>
                <w:sz w:val="14"/>
                <w:szCs w:val="14"/>
              </w:rPr>
              <w:t xml:space="preserve">Konsistenz-Score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56"/>
                <w:szCs w:val="56"/>
              </w:rPr>
              <w:t xml:space="preserve">4/10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Die drei Junior-Analysten lieferten ein stark unvollständiges Bild: Der Fundamental-Agent fiel mit einem technischen Fehler aus, sodass keine Bewertungsanalyse, kein Fair Value, keine Finanzkennzahlen und kein Peer-Vergleich vorliegen. Der News-Agent lieferte eine solide Sentiment- und Makroanalyse (Score 7/10, headwind bei Makro, neutral bei Industrie). Der Risk-Agent arbeitete auf Basis der News-Daten und identifizierte 6 ignorierte Makro-Risiken sowie zwei kritische Conviction Killers, die beide auf ein Bewertungs- und Execution-Risiko hinweisen. Ohne fundamentale Basis und bei zwei aktiven Conviction Killers ist die Konsistenz stark eingeschränkt (4/10). Die finale Empfehlung stützt sich primär auf Marktdaten (Trailing P/E 37.5x, Forward P/E 22.4x, 3M Performance -8.4%, Sentiment 7/10) und die skeptische Risk-Agent-Perspektive, während die fehlende Fundamentalanalyse durch vorsichtige Annahmen ersetzt werden muss.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dxa" w:w="7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000"/>
              <w:gridCol w:w="2900"/>
            </w:tblGrid>
            <w:tr>
              <w:tc>
                <w:tcPr>
                  <w:tcW w:type="dxa" w:w="32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Fair Value im Fundamental-Output vorhanden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B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❌ fehlgeschlagen</w:t>
                  </w:r>
                </w:p>
              </w:tc>
              <w:tc>
                <w:tcPr>
                  <w:tcW w:type="dxa" w:w="29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Fundamental-Agent lieferte Fehler ('NoneType' object has no attribute 'get') — keine Bewertungsanalyse verfügbar. Das ist ein kritischer Ausfall, der die Synthesequalität erheblich einschränkt.</w:t>
                  </w:r>
                </w:p>
              </w:tc>
            </w:tr>
          </w:tbl>
          <w:tbl>
            <w:tblPr>
              <w:tblW w:type="dxa" w:w="7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000"/>
              <w:gridCol w:w="2900"/>
            </w:tblGrid>
            <w:tr>
              <w:tc>
                <w:tcPr>
                  <w:tcW w:type="dxa" w:w="32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Sentiment Score im News-Output vorhanden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✅ bestanden</w:t>
                  </w:r>
                </w:p>
              </w:tc>
              <w:tc>
                <w:tcPr>
                  <w:tcW w:type="dxa" w:w="29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overall_sentiment_score = 7/10 vorhanden und plausibel (positiver bis neutraler Newsflow).</w:t>
                  </w:r>
                </w:p>
              </w:tc>
            </w:tr>
          </w:tbl>
          <w:tbl>
            <w:tblPr>
              <w:tblW w:type="dxa" w:w="7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000"/>
              <w:gridCol w:w="2900"/>
            </w:tblGrid>
            <w:tr>
              <w:tc>
                <w:tcPr>
                  <w:tcW w:type="dxa" w:w="32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Szenario-Wahrscheinlichkeiten summieren auf 100%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✅ bestanden</w:t>
                  </w:r>
                </w:p>
              </w:tc>
              <w:tc>
                <w:tcPr>
                  <w:tcW w:type="dxa" w:w="29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Risk-Agent Szenarien: Bear 35% + Base 45% + Bull 20% = 100%.</w:t>
                  </w:r>
                </w:p>
              </w:tc>
            </w:tr>
          </w:tbl>
          <w:tbl>
            <w:tblPr>
              <w:tblW w:type="dxa" w:w="7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000"/>
              <w:gridCol w:w="2900"/>
            </w:tblGrid>
            <w:tr>
              <w:tc>
                <w:tcPr>
                  <w:tcW w:type="dxa" w:w="32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Makro-Risiken aus News-Agent in Fundamentalanalyse berücksichtigt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⚠️ Warnung</w:t>
                  </w:r>
                </w:p>
              </w:tc>
              <w:tc>
                <w:tcPr>
                  <w:tcW w:type="dxa" w:w="29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Risk-Agent identifiziert 6 ignorierte Makro-Risiken: steigende US-Renditen nicht in DCF-Discount-Rate übersetzt, USDCHF-Tailwind nicht gegen Bewertungsbelastung abgewogen, Inflations-/Risikoprämienanstieg nicht in Wachstumsannahmen, restriktivere Finanzierungsbedingungen nicht in Auftragseingang modelliert, neutrale Industrie-Nachfrage nicht als fehlender Beschleuniger reflektiert, Testing-Umfeld-Unsicherheit nicht berücksichtigt.</w:t>
                  </w:r>
                </w:p>
              </w:tc>
            </w:tr>
          </w:tbl>
          <w:tbl>
            <w:tblPr>
              <w:tblW w:type="dxa" w:w="7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000"/>
              <w:gridCol w:w="2900"/>
            </w:tblGrid>
            <w:tr>
              <w:tc>
                <w:tcPr>
                  <w:tcW w:type="dxa" w:w="32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Empfehlung konsistent zwischen Fundamental- und Risk-Agent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⚠️ Warnung</w:t>
                  </w:r>
                </w:p>
              </w:tc>
              <w:tc>
                <w:tcPr>
                  <w:tcW w:type="dxa" w:w="29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Fundamental-Agent ohne Output, Risk-Agent empfiehlt implizit HALTEN bei skeptischem Ton. Synthese weicht nach unten ab wegen fehlender fundamentaler Stützung und aktiver Conviction Killers.</w:t>
                  </w:r>
                </w:p>
              </w:tc>
            </w:tr>
          </w:tbl>
          <w:tbl>
            <w:tblPr>
              <w:tblW w:type="dxa" w:w="7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000"/>
              <w:gridCol w:w="2900"/>
            </w:tblGrid>
            <w:tr>
              <w:tc>
                <w:tcPr>
                  <w:tcW w:type="dxa" w:w="32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KGV-Konsistenz zwischen Fundamental- und Risk-Agent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B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❌ fehlgeschlagen</w:t>
                  </w:r>
                </w:p>
              </w:tc>
              <w:tc>
                <w:tcPr>
                  <w:tcW w:type="dxa" w:w="29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Fundamental-Agent ohne Daten; Risk-Agent nennt Trailing P/E 37.5x und Forward P/E 22.4x aus Marktdaten. Keine Cross-Validierung möglich.</w:t>
                  </w:r>
                </w:p>
              </w:tc>
            </w:tr>
          </w:tbl>
          <w:tbl>
            <w:tblPr>
              <w:tblW w:type="dxa" w:w="7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000"/>
              <w:gridCol w:w="2900"/>
            </w:tblGrid>
            <w:tr>
              <w:tc>
                <w:tcPr>
                  <w:tcW w:type="dxa" w:w="32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Conviction Killers in Fundamentalanalyse reflektiert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B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❌ fehlgeschlagen</w:t>
                  </w:r>
                </w:p>
              </w:tc>
              <w:tc>
                <w:tcPr>
                  <w:tcW w:type="dxa" w:w="29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Da Fundamental-Agent ausgefallen ist, konnten die beiden Conviction Killers (schwaches Quartal bei Wachstum/Marge, Forward P/E-Abbau &lt;18x) nicht in der Basisanalyse berücksichtigt werden.</w:t>
                  </w:r>
                </w:p>
              </w:tc>
            </w:tr>
          </w:tbl>
          <w:tbl>
            <w:tblPr>
              <w:tblW w:type="dxa" w:w="7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000"/>
              <w:gridCol w:w="2900"/>
            </w:tblGrid>
            <w:tr>
              <w:tc>
                <w:tcPr>
                  <w:tcW w:type="dxa" w:w="32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Vollständigkeit der Quellen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⚠️ Warnung</w:t>
                  </w:r>
                </w:p>
              </w:tc>
              <w:tc>
                <w:tcPr>
                  <w:tcW w:type="dxa" w:w="29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57575"/>
                      <w:sz w:val="14"/>
                      <w:szCs w:val="14"/>
                    </w:rPr>
                    <w:t xml:space="preserve">News-Agent liefert glaubwürdige Quellen (EQS, Lonza IR, Yahoo Finance, Reuters); Fundamental-Agent fehlt komplett; Risk-Agent arbeitet mit vorhandenen Marktdaten. Insgesamt moderate Quellenqualität.</w:t>
                  </w:r>
                </w:p>
              </w:tc>
            </w:tr>
          </w:tbl>
          <w:p/>
        </w:tc>
      </w:tr>
    </w:tbl>
    <w:p>
      <w:pPr>
        <w:spacing w:after="80" w:before="200"/>
        <w:jc w:val="left"/>
      </w:pP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10. Finale Begründung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Fundamental: Der Fundamental-Agent fiel mit einem technischen Fehler aus ('NoneType' object has no attribute 'get'), sodass keine Bewertungsanalyse, kein Fair Value, keine detaillierten Finanzkennzahlen und kein Peer-Vergleich vorliegen. Die verfügbaren Marktdaten zeigen ein hohes Bewertungsniveau (Trailing P/E 37.5x, Forward P/E 22.4x, EV/EBITDA 17.2x, EV/Sales 5.6x, PEG 2.51), das für einen CDMO deutlich über historischen und typischen Peer-Multiples liegt. Der Kurs ist in 3 Monaten um -8.4% gefallen und notiert nur noch 8.9% über dem 52W-Tief, was trotz positiver News auf eingepreiste Erwartungen oder fehlendes institutionelles Käuferinteresse hindeutet. Ohne Peer-Vergleich ist die relative Bewertung unklar, aber die absoluten Multiples sprechen für eine ELEVATED-Einstufung mit wenig Fehlerbudget. | Makro: Der News-Agent identifiziert klaren Makro-Headwind: US 10Y +30.1bp, US 2Y +31.4bp in 10 Tagen erhöhen die Equity-Discount-Rate und belasten über restriktivere Finanzierungsbedingungen die Biotech-/Pharma-Kunden, die Lonzas Hauptabnehmer sind. Der stärkere USD (+1.1% USDCHF) wirkt nur teilweise offsettend, da die Bewertungsbelastung eines CHF-notierten High-Duration-Titels überwiegt. Inflationssorgen und Risikoprämienanstieg verstärken die vorsichtige Stimmung. Auf Branchenebene ist die Lage neutral: keine Impulse bei clinical trials, diagnostic volumes, R&amp;D funding oder lab reimbursement. Das bedeutet, die operative Story muss aus der Unternehmensstrategie kommen, nicht aus dem Markt. Overall macro direction: headwind; overall industry direction: neutral. | Risk: Der Risk-Agent liefert eine skeptische Analyse und identifiziert zwei kritische Conviction Killers: (1) Ein schwaches Quartal bei organischem Wachstum oder EBIT-Marge würde die Premium-These sofort beschädigen. (2) Ein Forward P/E-Abbau unter 18x bricht den Bewertungsanker. Beide Killers sind plausibel, da die hohe Bewertung wenig Fehlerbudget lässt und der Markt bereits seit 3 Monaten skeptisch reagiert. Der Risk-Agent nennt 6 ignorierte Makro-Risiken, die in der Fundamentalanalyse nicht reflektiert wurden (u.a. steigende Renditen nicht in DCF-Discount-Rate übersetzt, USDCHF-Tailwind nicht gegen Bewertungsbelastung abgewogen, Inflations-/Risikoprämienanstieg nicht in Wachstumsannahmen, restriktivere Finanzierung nicht in Auftragseingang modelliert). Die Szenarien zeigen 35% Bear (CHF 380), 45% Base (CHF 495), 20% Bull (CHF 675); der wahrscheinlichkeitsgewichtete Erwartungswert liegt bei CHF 495 × 0.45 + CHF 380 × 0.35 + CHF 675 × 0.20 = CHF 490.75, nahe am aktuellen Kurs. | Gewichtetes Fazit: Gewichtung im Normalszenario (Sentiment 7/10 &gt; 3/10): Fundamental 80%, News 10%, Risk 10%. Da der Fundamental-Agent ausgefallen ist, ersetze ich die 80% durch konservative Marktdaten-Interpretation und die Risk-Perspektive. Score-Berechnung: Upside = (495 - 488) / 488 = +1.4%; Sentiment_Score/10 × 100 = 70; Risk_Adjustment = -15 (2 Conviction Killers aktiv) + (-5) (Makro headwind) = -20. Score = (1.4 × 0.70) + (70 × 0.10) + (-20 × 0.20) = 0.98 + 7.0 - 4.0 = 3.98 → HALTEN bis UNTERGEWICHTEN (knapp unter 5). Entscheidung: UNTERGEWICHTEN wegen (a) hoher Bewertung ohne fundamentale Stützung, (b) zwei aktiver Conviction Killers, (c) Makro-Headwind bei neutraler Industrie, (d) Kursreaktion -8.4% in 3M trotz positiver News. Price Target CHF 460 (zwischen Bear CHF 380 und Base CHF 495, konservativ gewichtet). Conviction Level: mittel (Risk-Agent und News-Agent zeigen klare Richtung, aber Fundamental-Agent fehlt; zwei Conviction Killers aktiv). Peer-Vergleich: nicht verfügbar, daher kann die Empfehlung nicht durch relative Bewertung gestützt oder widerlegt werden; die absolute Bewertung (Trailing P/E 37.5x, Forward P/E 22.4x) ist jedoch für einen CDMO anspruchsvoll und lässt wenig Upside bei den identifizierten Risiken.</w:t>
            </w:r>
          </w:p>
        </w:tc>
      </w:tr>
    </w:tbl>
    <w:p>
      <w:pPr>
        <w:spacing w:after="80" w:before="200"/>
        <w:jc w:val="left"/>
      </w:pP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11. Quellen &amp; Literaturverzeichnis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5"/>
          <w:szCs w:val="15"/>
        </w:rPr>
        <w:t xml:space="preserve">[1]  EQS News / Lonza (Januar 2026): Lonza Delivers Strong Profitable Growth in Full-Year 2025 and Successfully Completes Vacaville Site Integration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5"/>
          <w:szCs w:val="15"/>
        </w:rPr>
        <w:t xml:space="preserve">[2]  Lonza IR (März 2026): Lonza Completes its Transformation to a Pure-Play CDMO with Agreement to Divest Capsules &amp; Health Ingredients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5"/>
          <w:szCs w:val="15"/>
        </w:rPr>
        <w:t xml:space="preserve">[3]  Yahoo Finance: LONZA GROUP AG (LONNN.MX) H2 FY2025 earnings call transcript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5"/>
          <w:szCs w:val="15"/>
        </w:rPr>
        <w:t xml:space="preserve">[4]  EQS News / Lonza (April 2026): Lonza Publishes 2026 Annual General Meeting Invitation and 2025 Annual and Sustainability Reports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5"/>
          <w:szCs w:val="15"/>
        </w:rPr>
        <w:t xml:space="preserve">[5]  Lonza IR (April 2026): Board-Changes bei AGM 2026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5"/>
          <w:szCs w:val="15"/>
        </w:rPr>
        <w:t xml:space="preserve">[6]  yfinance: Marktdaten (Trailing P/E 37.5x, Forward P/E 22.4x, EV/EBITDA 17.2x, EV/Sales 5.6x, PEG 2.51, Beta 0.82, 3M Performance -8.4%, 52W-Tief CHF 454.6)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5"/>
          <w:szCs w:val="15"/>
        </w:rPr>
        <w:t xml:space="preserve">[7]  yfinance: US 10Y Treasury Yield 4.657% (+30.1bp in 10 Tagen), US 2Y Treasury Yield 4.316% (+31.4bp in 10 Tagen), USDCHF 0.7891 (+1.11% in 5 Tagen), EURCHF 0.9157 (-0.02% in 5 Tagen)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5"/>
          <w:szCs w:val="15"/>
        </w:rPr>
        <w:t xml:space="preserve">[8]  Reuters: Rupee seen testing record lows; bonds to extend fall on Iran war jitters (Inflationssorgen, Risikoprämienanstieg)</w:t>
      </w:r>
    </w:p>
    <w:p>
      <w:pPr>
        <w:spacing w:after="80" w:before="2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4"/>
                <w:szCs w:val="14"/>
              </w:rPr>
              <w:t xml:space="preserve">DISCLAIMER: Dieses Dokument wurde automatisch durch den KI-Co-Analysten generiert (Bachelor Thesis BFH 2025/26, Luca Lüdi) und dient ausschliesslich zu Forschungs- und Demonstrationszwecken. Es stellt keine Anlageberatung dar (Art. 3 lit. c FIDLEG). Alle Angaben basieren auf öffentlich verfügbaren Daten. Forward-Schätzungen sind Approximationen — kein Ersatz für Bloomberg/FactSet Konsensdaten. Eine Haftung für die Richtigkeit der Angaben wird nicht übernommen.</w:t>
            </w:r>
          </w:p>
        </w:tc>
      </w:tr>
    </w:tbl>
    <w:p>
      <w:pPr>
        <w:spacing w:after="80" w:before="200"/>
        <w:jc w:val="left"/>
      </w:pPr>
    </w:p>
    <w:p>
      <w:pPr>
        <w:pBdr>
          <w:bottom w:val="single" w:color="C9A84C" w:sz="6" w:space="2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Anhang: LangGraph Routing-Log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[fundamental] ❌ Fehler: 'NoneType' object has no attribute 'get'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[fundamental] ❌ Fehler: 'NoneType' object has no attribute 'get'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[fundamental] ❌ Fehler: 'NoneType' object has no attribute 'get'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[anomaly_check] ✅ Keine strukturellen Anomalien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[news] ✅ Erfolgreich | Sentiment: 7/10 | Outlook: neutral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[risk] ✅ Erfolgreich | Bear-Case: 380 | Conviction Killers: 2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[quality] ✅ 2 bestanden | ⚠️ 2 Warnungen | ❌ 1 fehlgeschlagen | Score: 6/10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[supervisor_review] ↩ Kritik → fundamental: Bitte fügen Sie eine klare Empfehlung, eine Fair-Value-Berec...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[supervisor_round] Critique-Runde 1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[fundamental_critique] ❌ 'NoneType' object has no attribute 'get'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14"/>
          <w:szCs w:val="14"/>
        </w:rPr>
        <w:t xml:space="preserve">[supervisor] ✅ Memo erstellt | Empfehlung: UNTERGEWICHTEN | Conviction: mittel</w:t>
      </w:r>
    </w:p>
    <w:sectPr>
      <w:headerReference w:type="default" r:id="rId7"/>
      <w:footerReference w:type="default" r:id="rId8"/>
      <w:pgSz w:w="11906" w:h="16838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3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306"/>
    </w:tblGrid>
    <w:tr>
      <w:tc>
        <w:tcPr>
          <w:tcW w:type="dxa" w:w="6000"/>
          <w:gridSpan w:val="1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8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C62828"/>
              <w:sz w:val="14"/>
              <w:szCs w:val="14"/>
            </w:rPr>
            <w:t xml:space="preserve">UNTERGEWICHTEN  |  Kursziel CHF 460  |  Upside -5.7%</w:t>
          </w:r>
        </w:p>
      </w:tc>
      <w:tc>
        <w:tcPr>
          <w:tcW w:type="dxa" w:w="4306"/>
          <w:gridSpan w:val="1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8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757575"/>
              <w:sz w:val="14"/>
              <w:szCs w:val="14"/>
            </w:rPr>
            <w:t xml:space="preserve">Seite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757575"/>
              <w:sz w:val="14"/>
              <w:szCs w:val="14"/>
            </w:rPr>
            <w:t xml:space="preserve"> /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306"/>
    </w:tblGrid>
    <w:tr>
      <w:tc>
        <w:tcPr>
          <w:tcW w:type="dxa" w:w="6000"/>
          <w:gridSpan w:val="1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8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F3864"/>
              <w:sz w:val="15"/>
              <w:szCs w:val="15"/>
            </w:rPr>
            <w:t xml:space="preserve">Lonza Group AG  (LONN.SW)</w:t>
          </w:r>
        </w:p>
      </w:tc>
      <w:tc>
        <w:tcPr>
          <w:tcW w:type="dxa" w:w="4306"/>
          <w:gridSpan w:val="1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8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757575"/>
              <w:sz w:val="14"/>
              <w:szCs w:val="14"/>
            </w:rPr>
            <w:t xml:space="preserve">KI-Co-Analyst  ·  BFH 2025/26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2026-05-19T19:00:11.017Z</dcterms:created>
  <dcterms:modified xsi:type="dcterms:W3CDTF">2026-05-19T19:00:11.018Z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