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6200"/>
        <w:gridCol w:w="4572"/>
      </w:tblGrid>
      <w:tr>
        <w:tc>
          <w:tcPr>
            <w:tcW w:type="dxa" w:w="6200"/>
            <w:gridSpan w:val="1"/>
            <w:tcBorders>
              <w:top w:val="none"/>
              <w:left w:val="none"/>
              <w:bottom w:val="none"/>
              <w:right w:val="none"/>
            </w:tcBorders>
            <w:shd w:fill="1F3864"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color w:val="FFFFFF"/>
                <w:sz w:val="34"/>
                <w:szCs w:val="34"/>
              </w:rPr>
              <w:t xml:space="preserve">ABB Ltd</w:t>
            </w:r>
          </w:p>
          <w:p>
            <w:pPr>
              <w:spacing w:after="40" w:before="0"/>
              <w:jc w:val="left"/>
            </w:pPr>
            <w:r>
              <w:rPr>
                <w:rFonts w:ascii="Arial" w:cs="Arial" w:eastAsia="Arial" w:hAnsi="Arial"/>
                <w:b w:val="false"/>
                <w:bCs w:val="false"/>
                <w:i w:val="false"/>
                <w:iCs w:val="false"/>
                <w:color w:val="B0BEC5"/>
                <w:sz w:val="14"/>
                <w:szCs w:val="14"/>
              </w:rPr>
              <w:t xml:space="preserve">ABBN.SW  ·  Industrials  ·  2026-06-15</w:t>
            </w:r>
          </w:p>
          <w:p>
            <w:pPr>
              <w:spacing w:after="0" w:before="0"/>
              <w:jc w:val="left"/>
            </w:pPr>
            <w:r>
              <w:rPr>
                <w:rFonts w:ascii="Arial" w:cs="Arial" w:eastAsia="Arial" w:hAnsi="Arial"/>
                <w:b w:val="false"/>
                <w:bCs w:val="false"/>
                <w:i/>
                <w:iCs/>
                <w:color w:val="78909C"/>
                <w:sz w:val="12"/>
                <w:szCs w:val="12"/>
              </w:rPr>
              <w:t xml:space="preserve">KI-Co-Analyst  ·  BFH Bachelor Thesis 2025/26  ·  Luca Lüdi</w:t>
            </w:r>
          </w:p>
        </w:tc>
        <w:tc>
          <w:tcPr>
            <w:tcW w:type="dxa" w:w="4572"/>
            <w:gridSpan w:val="1"/>
            <w:tcBorders>
              <w:top w:val="none"/>
              <w:left w:val="none"/>
              <w:bottom w:val="none"/>
              <w:right w:val="none"/>
            </w:tcBorders>
            <w:shd w:fill="0D2137" w:val="clear"/>
            <w:tcMar>
              <w:top w:type="dxa" w:w="60"/>
              <w:left w:type="dxa" w:w="100"/>
              <w:bottom w:type="dxa" w:w="60"/>
              <w:right w:type="dxa" w:w="100"/>
            </w:tcMar>
            <w:vAlign w:val="center"/>
          </w:tcPr>
          <w:p>
            <w:pPr>
              <w:spacing w:after="40" w:before="0"/>
              <w:jc w:val="center"/>
            </w:pPr>
            <w:r>
              <w:rPr>
                <w:rFonts w:ascii="Arial" w:cs="Arial" w:eastAsia="Arial" w:hAnsi="Arial"/>
                <w:b w:val="false"/>
                <w:bCs w:val="false"/>
                <w:i w:val="false"/>
                <w:iCs w:val="false"/>
                <w:color w:val="B0BEC5"/>
                <w:sz w:val="13"/>
                <w:szCs w:val="13"/>
              </w:rPr>
              <w:t xml:space="preserve">Empfehlung</w:t>
            </w:r>
          </w:p>
          <w:p>
            <w:pPr>
              <w:spacing w:after="0" w:before="0"/>
              <w:jc w:val="center"/>
            </w:pPr>
            <w:r>
              <w:rPr>
                <w:rFonts w:ascii="Arial" w:cs="Arial" w:eastAsia="Arial" w:hAnsi="Arial"/>
                <w:b/>
                <w:bCs/>
                <w:i w:val="false"/>
                <w:iCs w:val="false"/>
                <w:color w:val="2E7D32"/>
                <w:sz w:val="26"/>
                <w:szCs w:val="26"/>
              </w:rPr>
              <w:t xml:space="preserve">ÜBERGEWICHTEN</w:t>
            </w:r>
          </w:p>
        </w:tc>
      </w:tr>
    </w:tbl>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154"/>
        <w:gridCol w:w="2154"/>
        <w:gridCol w:w="2154"/>
        <w:gridCol w:w="2154"/>
        <w:gridCol w:w="2154"/>
      </w:tblGrid>
      <w:tr>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Aktueller Kurs</w:t>
            </w:r>
          </w:p>
          <w:p>
            <w:pPr>
              <w:spacing w:after="0" w:before="0"/>
              <w:jc w:val="center"/>
            </w:pPr>
            <w:r>
              <w:rPr>
                <w:rFonts w:ascii="Arial" w:cs="Arial" w:eastAsia="Arial" w:hAnsi="Arial"/>
                <w:b/>
                <w:bCs/>
                <w:i w:val="false"/>
                <w:iCs w:val="false"/>
                <w:color w:val="1F3864"/>
                <w:sz w:val="19"/>
                <w:szCs w:val="19"/>
              </w:rPr>
              <w:t xml:space="preserve">CHF 81.62</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Kursziel (12M)</w:t>
            </w:r>
          </w:p>
          <w:p>
            <w:pPr>
              <w:spacing w:after="0" w:before="0"/>
              <w:jc w:val="center"/>
            </w:pPr>
            <w:r>
              <w:rPr>
                <w:rFonts w:ascii="Arial" w:cs="Arial" w:eastAsia="Arial" w:hAnsi="Arial"/>
                <w:b/>
                <w:bCs/>
                <w:i w:val="false"/>
                <w:iCs w:val="false"/>
                <w:color w:val="1F3864"/>
                <w:sz w:val="19"/>
                <w:szCs w:val="19"/>
              </w:rPr>
              <w:t xml:space="preserve">CHF 81</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Upside / Downside</w:t>
            </w:r>
          </w:p>
          <w:p>
            <w:pPr>
              <w:spacing w:after="0" w:before="0"/>
              <w:jc w:val="center"/>
            </w:pPr>
            <w:r>
              <w:rPr>
                <w:rFonts w:ascii="Arial" w:cs="Arial" w:eastAsia="Arial" w:hAnsi="Arial"/>
                <w:b/>
                <w:bCs/>
                <w:i w:val="false"/>
                <w:iCs w:val="false"/>
                <w:color w:val="C62828"/>
                <w:sz w:val="19"/>
                <w:szCs w:val="19"/>
              </w:rPr>
              <w:t xml:space="preserve">-0.76%</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Marktkapitalisierung</w:t>
            </w:r>
          </w:p>
          <w:p>
            <w:pPr>
              <w:spacing w:after="0" w:before="0"/>
              <w:jc w:val="center"/>
            </w:pPr>
            <w:r>
              <w:rPr>
                <w:rFonts w:ascii="Arial" w:cs="Arial" w:eastAsia="Arial" w:hAnsi="Arial"/>
                <w:b/>
                <w:bCs/>
                <w:i w:val="false"/>
                <w:iCs w:val="false"/>
                <w:color w:val="1F3864"/>
                <w:sz w:val="19"/>
                <w:szCs w:val="19"/>
              </w:rPr>
              <w:t xml:space="preserve">148.1 Mrd.</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Conviction Level</w:t>
            </w:r>
          </w:p>
          <w:p>
            <w:pPr>
              <w:spacing w:after="0" w:before="0"/>
              <w:jc w:val="center"/>
            </w:pPr>
            <w:r>
              <w:rPr>
                <w:rFonts w:ascii="Arial" w:cs="Arial" w:eastAsia="Arial" w:hAnsi="Arial"/>
                <w:b/>
                <w:bCs/>
                <w:i w:val="false"/>
                <w:iCs w:val="false"/>
                <w:color w:val="1F3864"/>
                <w:sz w:val="19"/>
                <w:szCs w:val="19"/>
              </w:rPr>
              <w:t xml:space="preserve">mittel</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Das Wichtigste in Kürze</w:t>
      </w:r>
    </w:p>
    <w:p>
      <w:pPr>
        <w:spacing w:after="80" w:before="0"/>
        <w:jc w:val="left"/>
      </w:pPr>
      <w:r>
        <w:rPr>
          <w:rFonts w:ascii="Arial" w:cs="Arial" w:eastAsia="Arial" w:hAnsi="Arial"/>
          <w:b/>
          <w:bCs/>
          <w:i w:val="false"/>
          <w:iCs w:val="false"/>
          <w:color w:val="000000"/>
          <w:sz w:val="18"/>
          <w:szCs w:val="18"/>
        </w:rPr>
        <w:t xml:space="preserve">Solides Industrieunternehmen mit starker Profitabilität – fair bewertet, leicht übergewichten wegen strukturellem Wachstum.</w:t>
      </w:r>
    </w:p>
    <w:p>
      <w:pPr>
        <w:spacing w:after="120" w:before="0"/>
        <w:jc w:val="left"/>
      </w:pPr>
      <w:r>
        <w:rPr>
          <w:rFonts w:ascii="Arial" w:cs="Arial" w:eastAsia="Arial" w:hAnsi="Arial"/>
          <w:b w:val="false"/>
          <w:bCs w:val="false"/>
          <w:i w:val="false"/>
          <w:iCs w:val="false"/>
          <w:color w:val="000000"/>
          <w:sz w:val="16"/>
          <w:szCs w:val="16"/>
        </w:rPr>
        <w:t xml:space="preserve">ABB stellt Maschinen, Antriebe und elektrische Systeme für Fabriken, Stromnetze und Gebäude her. Die Aktie ist aktuell fair bewertet – sie ist weder ein Schnäppchen noch überteuert, weil das Unternehmen solide Gewinne macht und von langfristigen Trends wie Elektrifizierung und Netzausbau profitiert. Wir empfehlen die Aktie leicht überzugewichten, weil ABB sehr profitabel arbeitet (jeder Franken Umsatz bringt viel Gewinn), kaum Schulden hat und von strukturell wachsenden Märkten profitiert. Das grösste Risiko ist, dass ein stärkerer Schweizer Franken die Gewinne aus dem Ausland schmälert und höhere Zinsen Kunden dazu bringen, weniger in neue Anlagen zu investieren.</w:t>
      </w:r>
    </w:p>
    <w:p>
      <w:pPr>
        <w:pBdr>
          <w:bottom w:val="single" w:color="C9A84C" w:sz="6" w:space="2"/>
        </w:pBdr>
        <w:spacing w:after="80" w:before="180"/>
      </w:pPr>
      <w:r>
        <w:rPr>
          <w:rFonts w:ascii="Arial" w:cs="Arial" w:eastAsia="Arial" w:hAnsi="Arial"/>
          <w:b/>
          <w:bCs/>
          <w:i w:val="false"/>
          <w:iCs w:val="false"/>
          <w:color w:val="1F3864"/>
          <w:sz w:val="19"/>
          <w:szCs w:val="19"/>
        </w:rPr>
        <w:t xml:space="preserve">1.  Unternehmensbeschreibung</w:t>
      </w:r>
    </w:p>
    <w:p>
      <w:pPr>
        <w:spacing w:after="60" w:before="0"/>
        <w:jc w:val="left"/>
      </w:pPr>
      <w:r>
        <w:rPr>
          <w:rFonts w:ascii="Arial" w:cs="Arial" w:eastAsia="Arial" w:hAnsi="Arial"/>
          <w:b w:val="false"/>
          <w:bCs w:val="false"/>
          <w:i w:val="false"/>
          <w:iCs w:val="false"/>
          <w:color w:val="000000"/>
          <w:sz w:val="16"/>
          <w:szCs w:val="16"/>
        </w:rPr>
        <w:t xml:space="preserve">ABB Ltd ist ein globaler Technologiekonzern mit Sitz in Zürich, der in drei Segmenten tätig ist: Electrification (Schaltanlagen, Gebäudeelektrifizierung, Ladestationen), Motion (Antriebe, Motoren, Generatoren) und Automation (Prozessautomatisierung, industrielle Software, Robotik). Das Unternehmen bedient Industrie-, Infrastruktur- und Versorgungsmärkte weltweit und profitiert strukturell von Elektrifizierung, Netzmodernisierung und Industrieautomation.</w:t>
      </w:r>
    </w:p>
    <w:p>
      <w:pPr>
        <w:pBdr>
          <w:bottom w:val="single" w:color="C9A84C" w:sz="6" w:space="2"/>
        </w:pBdr>
        <w:spacing w:after="80" w:before="180"/>
      </w:pPr>
      <w:r>
        <w:rPr>
          <w:rFonts w:ascii="Arial" w:cs="Arial" w:eastAsia="Arial" w:hAnsi="Arial"/>
          <w:b/>
          <w:bCs/>
          <w:i w:val="false"/>
          <w:iCs w:val="false"/>
          <w:color w:val="1F3864"/>
          <w:sz w:val="19"/>
          <w:szCs w:val="19"/>
        </w:rPr>
        <w:t xml:space="preserve">2.  Investment Case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Aussergewöhnlich hohe Kapitaleffizienz: ROIC 33.6% vs. Sektor-Ø 17.1% (+96.7%) und ROE 29.4% zeigen, dass ABB aus jedem investierten Franken deutlich mehr Rendite generiert als vergleichbare Industriekonzerne – ein klares Qualitätsmerkmal (Quelle: yfinance, Peer-Vergleich).</w:t>
      </w:r>
      <w:r>
        <w:rPr>
          <w:rFonts w:ascii="Arial" w:cs="Arial" w:eastAsia="Arial" w:hAnsi="Arial"/>
          <w:b w:val="false"/>
          <w:bCs w:val="false"/>
          <w:i/>
          <w:iCs/>
          <w:color w:val="757575"/>
          <w:sz w:val="13"/>
          <w:szCs w:val="13"/>
        </w:rPr>
        <w:t xml:space="preserve">  [yfinance, eigene Berechnung]</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Margenführerschaft trotz reifem Geschäft: EBIT-Marge 20.6% vs. Sektor-Ø 18.8% (+9.3%) und EBITDA-Marge 21.4% bei gleichzeitigem Umsatzwachstum von 18.3% (2024A→2025A) – ABB hat die operative Exzellenz bereits bewiesen und nicht nur versprochen (Quelle: yfinance, IR-Dokument).</w:t>
      </w:r>
      <w:r>
        <w:rPr>
          <w:rFonts w:ascii="Arial" w:cs="Arial" w:eastAsia="Arial" w:hAnsi="Arial"/>
          <w:b w:val="false"/>
          <w:bCs w:val="false"/>
          <w:i/>
          <w:iCs/>
          <w:color w:val="757575"/>
          <w:sz w:val="13"/>
          <w:szCs w:val="13"/>
        </w:rPr>
        <w:t xml:space="preserve">  [yfinance]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Struktureller Rückenwind aus Elektrifizierung und Netzausbau: Grid-Investitionen und Elektrifizierung liefern +7-15pp zusätzliches Umsatzwachstum p.a. FY26-27 laut thematischer Analyse; ABB ist mit breitem Produktportfolio und globaler Marktposition ideal positioniert, um diesen mehrjährigen Investitionszyklus zu monetarisieren (Quelle: thematische Analyse, News-Agent).</w:t>
      </w:r>
      <w:r>
        <w:rPr>
          <w:rFonts w:ascii="Arial" w:cs="Arial" w:eastAsia="Arial" w:hAnsi="Arial"/>
          <w:b w:val="false"/>
          <w:bCs w:val="false"/>
          <w:i/>
          <w:iCs/>
          <w:color w:val="757575"/>
          <w:sz w:val="13"/>
          <w:szCs w:val="13"/>
        </w:rPr>
        <w:t xml:space="preserve">  [thematische Analyse]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Bilanzstärke gibt finanzielle Flexibilität: Net Debt/EBITDA nur 0.46x vs. Sektor-Ø 2.27x (-79.7%) und Cash-Bestand 5.93 Mrd. CHF bei moderater Verschuldung – ABB kann Akquisitionen, Dividenden und Investitionen aus eigener Kraft finanzieren, ohne bei steigenden Zinsen unter Druck zu geraten (Quelle: yfinance).</w:t>
      </w:r>
      <w:r>
        <w:rPr>
          <w:rFonts w:ascii="Arial" w:cs="Arial" w:eastAsia="Arial" w:hAnsi="Arial"/>
          <w:b w:val="false"/>
          <w:bCs w:val="false"/>
          <w:i/>
          <w:iCs/>
          <w:color w:val="757575"/>
          <w:sz w:val="13"/>
          <w:szCs w:val="13"/>
        </w:rPr>
        <w:t xml:space="preserve">  [yfinance]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Katalysator: Normalisierung des Free Cash Flow ab FY26 – wenn ABB die aktuell extrem schwache FCF-Conversion von 12.3% (TTM) auf historisch typische 40-50% steigert, würde das die Qualitätsprämie fundamental rechtfertigen und einen Re-Rating-Trigger liefern (Quelle: yfinance, Forward-Projektion).</w:t>
      </w:r>
      <w:r>
        <w:rPr>
          <w:rFonts w:ascii="Arial" w:cs="Arial" w:eastAsia="Arial" w:hAnsi="Arial"/>
          <w:b w:val="false"/>
          <w:bCs w:val="false"/>
          <w:i/>
          <w:iCs/>
          <w:color w:val="757575"/>
          <w:sz w:val="13"/>
          <w:szCs w:val="13"/>
        </w:rPr>
        <w:t xml:space="preserve">  [yfinance, eigene Projektion]</w:t>
      </w:r>
    </w:p>
    <w:p>
      <w:pPr>
        <w:pBdr>
          <w:bottom w:val="single" w:color="C9A84C" w:sz="6" w:space="2"/>
        </w:pBdr>
        <w:spacing w:after="80" w:before="180"/>
      </w:pPr>
      <w:r>
        <w:rPr>
          <w:rFonts w:ascii="Arial" w:cs="Arial" w:eastAsia="Arial" w:hAnsi="Arial"/>
          <w:b/>
          <w:bCs/>
          <w:i w:val="false"/>
          <w:iCs w:val="false"/>
          <w:color w:val="1F3864"/>
          <w:sz w:val="19"/>
          <w:szCs w:val="19"/>
        </w:rPr>
        <w:t xml:space="preserve">3.  Finanzübersicht (in Mrd. Berichtswährung, ausser je Aktie)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760"/>
        <w:gridCol w:w="840"/>
        <w:gridCol w:w="800"/>
        <w:gridCol w:w="760"/>
        <w:gridCol w:w="680"/>
        <w:gridCol w:w="620"/>
        <w:gridCol w:w="600"/>
        <w:gridCol w:w="680"/>
        <w:gridCol w:w="800"/>
        <w:gridCol w:w="680"/>
        <w:gridCol w:w="3552"/>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Jahr</w:t>
            </w:r>
          </w:p>
        </w:tc>
        <w:tc>
          <w:tcPr>
            <w:tcW w:type="dxa" w:w="84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Umsatz</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EBITDA</w:t>
            </w:r>
          </w:p>
        </w:tc>
        <w:tc>
          <w:tcPr>
            <w:tcW w:type="dxa" w:w="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EBITDA-%</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w:t>
            </w:r>
          </w:p>
        </w:tc>
        <w:tc>
          <w:tcPr>
            <w:tcW w:type="dxa" w:w="62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EPS</w:t>
            </w:r>
          </w:p>
        </w:tc>
        <w:tc>
          <w:tcPr>
            <w:tcW w:type="dxa" w:w="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DPS</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FCF</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ND/EBITDA</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ROIC-%</w:t>
            </w:r>
          </w:p>
        </w:tc>
        <w:tc>
          <w:tcPr>
            <w:tcW w:type="dxa" w:w="355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Quelle</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2022A</w:t>
            </w:r>
          </w:p>
        </w:tc>
        <w:tc>
          <w:tcPr>
            <w:tcW w:type="dxa" w:w="8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29.446</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4.338</w:t>
            </w:r>
          </w:p>
        </w:tc>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14.7321</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11.9677</w:t>
            </w:r>
          </w:p>
        </w:tc>
        <w:tc>
          <w:tcPr>
            <w:tcW w:type="dxa" w:w="6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1.3</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0.89</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0.525</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1.01</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13.4</w:t>
            </w:r>
          </w:p>
        </w:tc>
        <w:tc>
          <w:tcPr>
            <w:tcW w:type="dxa" w:w="355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yfinance) | </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2023A</w:t>
            </w:r>
          </w:p>
        </w:tc>
        <w:tc>
          <w:tcPr>
            <w:tcW w:type="dxa" w:w="84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32.235</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5.833</w:t>
            </w:r>
          </w:p>
        </w:tc>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18.0952</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15.6755</w:t>
            </w:r>
          </w:p>
        </w:tc>
        <w:tc>
          <w:tcPr>
            <w:tcW w:type="dxa" w:w="62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2.01</w:t>
            </w:r>
          </w:p>
        </w:tc>
        <w:tc>
          <w:tcPr>
            <w:tcW w:type="dxa" w:w="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0.92</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3.52</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0.83</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19.2</w:t>
            </w:r>
          </w:p>
        </w:tc>
        <w:tc>
          <w:tcPr>
            <w:tcW w:type="dxa" w:w="355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yfinance) | </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2024A</w:t>
            </w:r>
          </w:p>
        </w:tc>
        <w:tc>
          <w:tcPr>
            <w:tcW w:type="dxa" w:w="8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30.583</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5.758</w:t>
            </w:r>
          </w:p>
        </w:tc>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18.8275</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16.3391</w:t>
            </w:r>
          </w:p>
        </w:tc>
        <w:tc>
          <w:tcPr>
            <w:tcW w:type="dxa" w:w="6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2.13</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0.96</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3.876</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0.59</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17.7</w:t>
            </w:r>
          </w:p>
        </w:tc>
        <w:tc>
          <w:tcPr>
            <w:tcW w:type="dxa" w:w="355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yfinance) | </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2025A</w:t>
            </w:r>
          </w:p>
        </w:tc>
        <w:tc>
          <w:tcPr>
            <w:tcW w:type="dxa" w:w="84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33.22</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7.118</w:t>
            </w:r>
          </w:p>
        </w:tc>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21.4269</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18.9795</w:t>
            </w:r>
          </w:p>
        </w:tc>
        <w:tc>
          <w:tcPr>
            <w:tcW w:type="dxa" w:w="62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2.59</w:t>
            </w:r>
          </w:p>
        </w:tc>
        <w:tc>
          <w:tcPr>
            <w:tcW w:type="dxa" w:w="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1.04</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4.468</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0.63</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19.3</w:t>
            </w:r>
          </w:p>
        </w:tc>
        <w:tc>
          <w:tcPr>
            <w:tcW w:type="dxa" w:w="355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yfinance) | </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2026E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35.5454</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7.8199</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22</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2.83</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1.04</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4.624</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0.54</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20.5</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Wachstums-Projektion + Makro-Revision) | </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2027E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38.5668</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8.7161</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22.6</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3.14</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1.04</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5.133</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0.45</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21.2</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Wachstums-Projektion + Makro-Revision) | </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2028E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41.0736</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9.4058</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22.9</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3.37</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1.04</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5.504</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0.39</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21.8</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E = Schätzung (Quelle: Wachstums-Projektion + Makro-Revision) | </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757575"/>
                <w:sz w:val="12"/>
                <w:szCs w:val="12"/>
              </w:rPr>
              <w:t xml:space="preserve">ℹ</w:t>
            </w:r>
          </w:p>
        </w:tc>
        <w:tc>
          <w:tcPr>
            <w:tcW w:type="dxa" w:w="10012"/>
            <w:gridSpan w:val="1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pPr>
              <w:spacing w:after="0" w:before="0"/>
              <w:jc w:val="left"/>
            </w:pPr>
            <w:r>
              <w:rPr>
                <w:rFonts w:ascii="Arial" w:cs="Arial" w:eastAsia="Arial" w:hAnsi="Arial"/>
                <w:b w:val="false"/>
                <w:bCs w:val="false"/>
                <w:i/>
                <w:iCs/>
                <w:color w:val="757575"/>
                <w:sz w:val="11"/>
                <w:szCs w:val="11"/>
              </w:rPr>
              <w:t xml:space="preserve">A = Istzahlen (geprüft)  |  📊 E = Schätzwert  |  Forward-Schätzungen: Approximation — kein Ersatz für Bloomberg/FactSet</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4.  Bewertung gegenüber Peer und Historischen Kennzahlen</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400"/>
        <w:gridCol w:w="3372"/>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Kennzahl</w:t>
            </w:r>
          </w:p>
        </w:tc>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Aktuell</w:t>
            </w:r>
          </w:p>
        </w:tc>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Peer-Median</w:t>
            </w:r>
          </w:p>
        </w:tc>
        <w:tc>
          <w:tcPr>
            <w:tcW w:type="dxa" w:w="2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Hist. Ø 5J</w:t>
            </w:r>
          </w:p>
        </w:tc>
        <w:tc>
          <w:tcPr>
            <w:tcW w:type="dxa" w:w="337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Einschätzung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EV/EBITDA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21.6x</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19.2x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14.0x (FY22-25)</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Forward P/E</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30.0x</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23.4x</w:t>
            </w:r>
          </w:p>
        </w:tc>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20.6x (FY22-25)</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P/B</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12.6x</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6.2x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5.4x (FY22-25)</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EV/Sales</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4.4x</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4.6x</w:t>
            </w:r>
          </w:p>
        </w:tc>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2.5x (FY22-25)</w:t>
            </w:r>
          </w:p>
        </w:tc>
        <w:tc>
          <w:tcPr>
            <w:tcW w:type="dxa" w:w="3372"/>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E7D32"/>
                <w:sz w:val="13"/>
                <w:szCs w:val="13"/>
              </w:rPr>
              <w:t xml:space="preserve">FAIR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Div Yield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1.3%</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1.4%</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 (FY22-25)</w:t>
            </w:r>
          </w:p>
        </w:tc>
        <w:tc>
          <w:tcPr>
            <w:tcW w:type="dxa" w:w="3372"/>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E7D32"/>
                <w:sz w:val="13"/>
                <w:szCs w:val="13"/>
              </w:rPr>
              <w:t xml:space="preserve">FAIR</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FCF Yield</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0.3%</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2.3%</w:t>
            </w:r>
          </w:p>
        </w:tc>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 (FY22-25)</w:t>
            </w:r>
          </w:p>
        </w:tc>
        <w:tc>
          <w:tcPr>
            <w:tcW w:type="dxa" w:w="3372"/>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DISCOUNT</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5.  Peer-Vergleich</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60"/>
        <w:gridCol w:w="880"/>
        <w:gridCol w:w="880"/>
        <w:gridCol w:w="960"/>
        <w:gridCol w:w="880"/>
        <w:gridCol w:w="2812"/>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Unternehmen</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Land</w:t>
            </w:r>
          </w:p>
        </w:tc>
        <w:tc>
          <w:tcPr>
            <w:tcW w:type="dxa" w:w="9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EV/EBITDA</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Fwd. P/E</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EBIT-%</w:t>
            </w:r>
          </w:p>
        </w:tc>
        <w:tc>
          <w:tcPr>
            <w:tcW w:type="dxa" w:w="9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ND/EBITDA</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Div.-%</w:t>
            </w:r>
          </w:p>
        </w:tc>
        <w:tc>
          <w:tcPr>
            <w:tcW w:type="dxa" w:w="281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Wachstum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Siemens Aktiengesellschaft</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Germany</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20.9</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20.7</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12.7</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3.84</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2.02</w:t>
            </w:r>
          </w:p>
        </w:tc>
        <w:tc>
          <w:tcPr>
            <w:tcW w:type="dxa" w:w="281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n/v</w:t>
            </w:r>
          </w:p>
        </w:tc>
      </w:tr>
      <w:tr>
        <w:tc>
          <w:tcPr>
            <w:tcW w:type="dxa" w:w="26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Republic Services, Inc.</w:t>
            </w:r>
          </w:p>
        </w:tc>
        <w:tc>
          <w:tcPr>
            <w:tcW w:type="dxa" w:w="8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15.1</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26</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20.2</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2.69</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1.19</w:t>
            </w:r>
          </w:p>
        </w:tc>
        <w:tc>
          <w:tcPr>
            <w:tcW w:type="dxa" w:w="2812"/>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2.6</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Emerson Electric Co.</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15.7</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24.2</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2.09</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1.55</w:t>
            </w:r>
          </w:p>
        </w:tc>
        <w:tc>
          <w:tcPr>
            <w:tcW w:type="dxa" w:w="281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2.9</w:t>
            </w:r>
          </w:p>
        </w:tc>
      </w:tr>
      <w:tr>
        <w:tc>
          <w:tcPr>
            <w:tcW w:type="dxa" w:w="26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Dover Corporation</w:t>
            </w:r>
          </w:p>
        </w:tc>
        <w:tc>
          <w:tcPr>
            <w:tcW w:type="dxa" w:w="8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16.6</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18.8</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16.4</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0.88</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0.96</w:t>
            </w:r>
          </w:p>
        </w:tc>
        <w:tc>
          <w:tcPr>
            <w:tcW w:type="dxa" w:w="2812"/>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10.1</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Rockwell Automation, Inc.</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27.8</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31.6</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20.7</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1.84</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1.2</w:t>
            </w:r>
          </w:p>
        </w:tc>
        <w:tc>
          <w:tcPr>
            <w:tcW w:type="dxa" w:w="281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11.9</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Ø  Sektor-Durchschnitt</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n/v</w:t>
            </w:r>
          </w:p>
        </w:tc>
        <w:tc>
          <w:tcPr>
            <w:tcW w:type="dxa" w:w="9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19.22</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23.42</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18.84</w:t>
            </w:r>
          </w:p>
        </w:tc>
        <w:tc>
          <w:tcPr>
            <w:tcW w:type="dxa" w:w="9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2.27</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1.38</w:t>
            </w:r>
          </w:p>
        </w:tc>
        <w:tc>
          <w:tcPr>
            <w:tcW w:type="dxa" w:w="281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5.5</w:t>
            </w:r>
          </w:p>
        </w:tc>
      </w:tr>
      <w:tr>
        <w:tc>
          <w:tcPr>
            <w:tcW w:type="dxa" w:w="260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 ABB Ltd</w:t>
            </w:r>
          </w:p>
        </w:tc>
        <w:tc>
          <w:tcPr>
            <w:tcW w:type="dxa" w:w="80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Switzerland</w:t>
            </w:r>
          </w:p>
        </w:tc>
        <w:tc>
          <w:tcPr>
            <w:tcW w:type="dxa" w:w="96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21.6</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30</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20.6</w:t>
            </w:r>
          </w:p>
        </w:tc>
        <w:tc>
          <w:tcPr>
            <w:tcW w:type="dxa" w:w="96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0.46</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1.15</w:t>
            </w:r>
          </w:p>
        </w:tc>
        <w:tc>
          <w:tcPr>
            <w:tcW w:type="dxa" w:w="2812"/>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18.3</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6.  Szenarien — Bear / Base / Bull Case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590"/>
        <w:gridCol w:w="3590"/>
        <w:gridCol w:w="3592"/>
      </w:tblGrid>
      <w:tr>
        <w:tc>
          <w:tcPr>
            <w:tcW w:type="dxa" w:w="3590"/>
            <w:tcBorders>
              <w:top w:val="single" w:color="E53935" w:sz="8"/>
              <w:left w:val="single" w:color="E53935" w:sz="8"/>
              <w:bottom w:val="single" w:color="E53935" w:sz="2"/>
              <w:right w:val="single" w:color="E53935" w:sz="2"/>
            </w:tcBorders>
            <w:shd w:fill="FFEBEE"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Bear Case</w:t>
            </w:r>
          </w:p>
          <w:p>
            <w:pPr>
              <w:spacing w:after="40" w:before="0"/>
              <w:jc w:val="center"/>
            </w:pPr>
            <w:r>
              <w:rPr>
                <w:rFonts w:ascii="Arial" w:cs="Arial" w:eastAsia="Arial" w:hAnsi="Arial"/>
                <w:b/>
                <w:bCs/>
                <w:i w:val="false"/>
                <w:iCs w:val="false"/>
                <w:color w:val="C62828"/>
                <w:sz w:val="24"/>
                <w:szCs w:val="24"/>
              </w:rPr>
              <w:t xml:space="preserve">68</w:t>
            </w:r>
          </w:p>
          <w:p>
            <w:pPr>
              <w:spacing w:after="80" w:before="0"/>
              <w:jc w:val="center"/>
            </w:pPr>
            <w:r>
              <w:rPr>
                <w:rFonts w:ascii="Arial" w:cs="Arial" w:eastAsia="Arial" w:hAnsi="Arial"/>
                <w:b/>
                <w:bCs/>
                <w:i w:val="false"/>
                <w:iCs w:val="false"/>
                <w:color w:val="757575"/>
                <w:sz w:val="13"/>
                <w:szCs w:val="13"/>
              </w:rPr>
              <w:t xml:space="preserve">Wahrscheinlichkeit: 30%</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FX-Headwinds und höhere Finanzierungskosten drücken Auftragseingang und die EBIT-Marge stagniert bei ~19-20% statt weiter in Richtung 22% zu steigen.</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Q/halbjährliche Ergebnisse zeigen Book-to-Bill &lt;1.0 oder Umsatzwachstum unter 5% bei gleichzeitig fallender Margenführung.</w:t>
            </w:r>
          </w:p>
        </w:tc>
        <w:tc>
          <w:tcPr>
            <w:tcW w:type="dxa" w:w="3590"/>
            <w:tcBorders>
              <w:top w:val="single" w:color="F9A825" w:sz="8"/>
              <w:left w:val="single" w:color="F9A825" w:sz="8"/>
              <w:bottom w:val="single" w:color="F9A825" w:sz="2"/>
              <w:right w:val="single" w:color="F9A825" w:sz="2"/>
            </w:tcBorders>
            <w:shd w:fill="FFF8E1"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Base Case</w:t>
            </w:r>
          </w:p>
          <w:p>
            <w:pPr>
              <w:spacing w:after="40" w:before="0"/>
              <w:jc w:val="center"/>
            </w:pPr>
            <w:r>
              <w:rPr>
                <w:rFonts w:ascii="Arial" w:cs="Arial" w:eastAsia="Arial" w:hAnsi="Arial"/>
                <w:b/>
                <w:bCs/>
                <w:i w:val="false"/>
                <w:iCs w:val="false"/>
                <w:color w:val="B8860B"/>
                <w:sz w:val="24"/>
                <w:szCs w:val="24"/>
              </w:rPr>
              <w:t xml:space="preserve">80</w:t>
            </w:r>
          </w:p>
          <w:p>
            <w:pPr>
              <w:spacing w:after="80" w:before="0"/>
              <w:jc w:val="center"/>
            </w:pPr>
            <w:r>
              <w:rPr>
                <w:rFonts w:ascii="Arial" w:cs="Arial" w:eastAsia="Arial" w:hAnsi="Arial"/>
                <w:b/>
                <w:bCs/>
                <w:i w:val="false"/>
                <w:iCs w:val="false"/>
                <w:color w:val="757575"/>
                <w:sz w:val="13"/>
                <w:szCs w:val="13"/>
              </w:rPr>
              <w:t xml:space="preserve">Wahrscheinlichkeit: 45%</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ABB liefert weiterhin solides Wachstum mit stabilen Margen, während Bewertung über Zeit durch Gewinnanstieg und Cash-Generierung verdaut wird.</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2026E EPS und Margen werden bestätigt; Analystenkonsens bleibt nahe 30x Forward P/E ohne multiple compression.</w:t>
            </w:r>
          </w:p>
        </w:tc>
        <w:tc>
          <w:tcPr>
            <w:tcW w:type="dxa" w:w="3592"/>
            <w:tcBorders>
              <w:top w:val="single" w:color="43A047" w:sz="8"/>
              <w:left w:val="single" w:color="43A047" w:sz="8"/>
              <w:bottom w:val="single" w:color="43A047" w:sz="2"/>
              <w:right w:val="single" w:color="43A047" w:sz="2"/>
            </w:tcBorders>
            <w:shd w:fill="E8F5E9"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Bull Case</w:t>
            </w:r>
          </w:p>
          <w:p>
            <w:pPr>
              <w:spacing w:after="40" w:before="0"/>
              <w:jc w:val="center"/>
            </w:pPr>
            <w:r>
              <w:rPr>
                <w:rFonts w:ascii="Arial" w:cs="Arial" w:eastAsia="Arial" w:hAnsi="Arial"/>
                <w:b/>
                <w:bCs/>
                <w:i w:val="false"/>
                <w:iCs w:val="false"/>
                <w:color w:val="2E7D32"/>
                <w:sz w:val="24"/>
                <w:szCs w:val="24"/>
              </w:rPr>
              <w:t xml:space="preserve">92</w:t>
            </w:r>
          </w:p>
          <w:p>
            <w:pPr>
              <w:spacing w:after="80" w:before="0"/>
              <w:jc w:val="center"/>
            </w:pPr>
            <w:r>
              <w:rPr>
                <w:rFonts w:ascii="Arial" w:cs="Arial" w:eastAsia="Arial" w:hAnsi="Arial"/>
                <w:b/>
                <w:bCs/>
                <w:i w:val="false"/>
                <w:iCs w:val="false"/>
                <w:color w:val="757575"/>
                <w:sz w:val="13"/>
                <w:szCs w:val="13"/>
              </w:rPr>
              <w:t xml:space="preserve">Wahrscheinlichkeit: 25%</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Grid-/Electrification-Nachfrage bleibt stark, FX stabilisiert sich, und ABB liefert erneut eine Margen-/ROIC-Überraschung mit Cash-Conversion-Verbesserung.</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Umsatzwachstum &gt;10%, EBIT-Marge &gt;21.5% und Free-Cash-Flow normalisiert sich deutlich über 4.5 Mrd. CHF.</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7.  Quantifizierte Risiken &amp; Conviction Killers</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5386"/>
        <w:gridCol w:w="5386"/>
      </w:tblGrid>
      <w:tr>
        <w:tc>
          <w:tcPr>
            <w:tcW w:type="dxa" w:w="538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before="0"/>
              <w:jc w:val="left"/>
            </w:pPr>
            <w:r>
              <w:rPr>
                <w:rFonts w:ascii="Arial" w:cs="Arial" w:eastAsia="Arial" w:hAnsi="Arial"/>
                <w:b/>
                <w:bCs/>
                <w:i w:val="false"/>
                <w:iCs w:val="false"/>
                <w:color w:val="1F3864"/>
                <w:sz w:val="15"/>
                <w:szCs w:val="15"/>
              </w:rPr>
              <w:t xml:space="preserve">Quantifizierte Risiken</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Währungsrisiko: Ein weiter steigender CHF könnte die in Euro und USD erzielten Umsätze um mittlere einstellige Prozentpunkte drücken; bei 70% Auslandsexponierung wären das 1-2% Umsatzverlust und entsprechend 150-300 Mio. CHF EBIT-Belastung (Quelle: News-Agent, eigene Berechnung).</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Zinsrisiko: EZB-Leitzinserhöhungen verteuern Unternehmenskredite und Leasingfinanzierungen, was Investitionsprojekte in Fabrikautomation und Infrastruktur verzögern kann; wenn Auftragseingang nur +2% statt +5% wächst, verliert ABB ca. 1.0 Mrd. CHF Topline relativ zum Basispfad (Quelle: Risk-Agent, News-Agent).</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FCF-Conversion bleibt schwach: Wenn der TTM-FCF von nur 0.48 Mrd. CHF (FCF-Conversion 12.3%) nicht auf historisch typische 40-50% normalisiert, würde die Qualitätsprämie fundamental nicht gerechtfertigt sein und das Bewertungsniveau müsste korrigieren (Quelle: Fundamental-Agent, Conviction Killer).</w:t>
            </w:r>
          </w:p>
        </w:tc>
        <w:tc>
          <w:tcPr>
            <w:tcW w:type="dxa" w:w="538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0"/>
              <w:jc w:val="left"/>
            </w:pPr>
            <w:r>
              <w:rPr>
                <w:rFonts w:ascii="Arial" w:cs="Arial" w:eastAsia="Arial" w:hAnsi="Arial"/>
                <w:b/>
                <w:bCs/>
                <w:i w:val="false"/>
                <w:iCs w:val="false"/>
                <w:color w:val="C62828"/>
                <w:sz w:val="15"/>
                <w:szCs w:val="15"/>
              </w:rPr>
              <w:t xml:space="preserve">🚨  Conviction Killers</w:t>
            </w:r>
          </w:p>
          <w:p>
            <w:pPr>
              <w:spacing w:after="60" w:before="0"/>
              <w:jc w:val="left"/>
            </w:pPr>
            <w:r>
              <w:rPr>
                <w:rFonts w:ascii="Arial" w:cs="Arial" w:eastAsia="Arial" w:hAnsi="Arial"/>
                <w:b w:val="false"/>
                <w:bCs w:val="false"/>
                <w:i/>
                <w:iCs/>
                <w:color w:val="757575"/>
                <w:sz w:val="12"/>
                <w:szCs w:val="12"/>
              </w:rPr>
              <w:t xml:space="preserve">Datenpunkte die den Investment Case sofort entkräften:</w:t>
            </w:r>
          </w:p>
          <w:p>
            <w:pPr>
              <w:pStyle w:val="ListParagraph"/>
              <w:numPr>
                <w:ilvl w:val="0"/>
                <w:numId w:val="2"/>
              </w:numPr>
              <w:spacing w:after="30" w:before="30"/>
            </w:pPr>
            <w:r>
              <w:rPr>
                <w:rFonts w:ascii="Arial" w:cs="Arial" w:eastAsia="Arial" w:hAnsi="Arial"/>
                <w:b/>
                <w:bCs/>
                <w:i w:val="false"/>
                <w:iCs w:val="false"/>
                <w:color w:val="C62828"/>
                <w:sz w:val="15"/>
                <w:szCs w:val="15"/>
              </w:rPr>
              <w:t xml:space="preserve">⚠  Book-to-bill fällt in zwei aufeinanderfolgenden Quartalen unter 1.0 und das Management senkt die Umsatz- oder Margenguidance um &gt;2pp bzw. &gt;100bps – das würde zeigen, dass der angenommene Wachstumspfad nicht trägt.</w:t>
            </w:r>
            <w:r>
              <w:rPr>
                <w:rFonts w:ascii="Arial" w:cs="Arial" w:eastAsia="Arial" w:hAnsi="Arial"/>
                <w:b w:val="false"/>
                <w:bCs w:val="false"/>
                <w:i/>
                <w:iCs/>
                <w:color w:val="757575"/>
                <w:sz w:val="12"/>
                <w:szCs w:val="12"/>
              </w:rPr>
              <w:t xml:space="preserve">  → Monitor: Watch next 2 quarterly reports: if Book-to-bill &lt;1.0 twice or guidance cut by &gt;2pp on revenue growth / &gt;100bps on EBIT margin, downgrade to HALTEN or UNTERGEWICHTEN.</w:t>
            </w:r>
          </w:p>
          <w:p>
            <w:pPr>
              <w:pStyle w:val="ListParagraph"/>
              <w:numPr>
                <w:ilvl w:val="0"/>
                <w:numId w:val="2"/>
              </w:numPr>
              <w:spacing w:after="30" w:before="30"/>
            </w:pPr>
            <w:r>
              <w:rPr>
                <w:rFonts w:ascii="Arial" w:cs="Arial" w:eastAsia="Arial" w:hAnsi="Arial"/>
                <w:b/>
                <w:bCs/>
                <w:i w:val="false"/>
                <w:iCs w:val="false"/>
                <w:color w:val="C62828"/>
                <w:sz w:val="15"/>
                <w:szCs w:val="15"/>
              </w:rPr>
              <w:t xml:space="preserve">⚠  ABB bestätigt trotz Umsatzwachstum keine Normalisierung des Free Cash Flow und der TTM-FCF bleibt unter 2.0 Mrd. CHF für zwei aufeinanderfolgende Berichtsperioden – das würde die Qualitätsprämie fundamental zerstören.</w:t>
            </w:r>
            <w:r>
              <w:rPr>
                <w:rFonts w:ascii="Arial" w:cs="Arial" w:eastAsia="Arial" w:hAnsi="Arial"/>
                <w:b w:val="false"/>
                <w:bCs w:val="false"/>
                <w:i/>
                <w:iCs/>
                <w:color w:val="757575"/>
                <w:sz w:val="12"/>
                <w:szCs w:val="12"/>
              </w:rPr>
              <w:t xml:space="preserve">  → Monitor: Watch reported TTM free cash flow; if it stays &lt;2.0 bn CHF for two consecutive reporting periods, the valuation thesis must be re-cut and downgrade likely.</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8.  Makro-Ampel &amp; Sentiment</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972"/>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Beobachtungsbereich</w:t>
            </w:r>
          </w:p>
        </w:tc>
        <w:tc>
          <w:tcPr>
            <w:tcW w:type="dxa" w:w="1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Signal</w:t>
            </w:r>
          </w:p>
        </w:tc>
        <w:tc>
          <w:tcPr>
            <w:tcW w:type="dxa" w:w="797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Einschätzung &amp; Transmissionsmechanismus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Makro</w:t>
            </w:r>
          </w:p>
        </w:tc>
        <w:tc>
          <w:tcPr>
            <w:tcW w:type="dxa" w:w="1200"/>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negativ</w:t>
            </w:r>
          </w:p>
        </w:tc>
        <w:tc>
          <w:tcPr>
            <w:tcW w:type="dxa" w:w="797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EZB-Zinserhöhungen und stärkerer CHF belasten Investitionsneigung und FX-Translation; geopolitische Spannungen erhöhen Risikoaufschläge – netto headwind trotz stabiler US-Renditen.</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Branche</w:t>
            </w:r>
          </w:p>
        </w:tc>
        <w:tc>
          <w:tcPr>
            <w:tcW w:type="dxa" w:w="120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E7D32"/>
                <w:sz w:val="13"/>
                <w:szCs w:val="13"/>
              </w:rPr>
              <w:t xml:space="preserve">positiv</w:t>
            </w:r>
          </w:p>
        </w:tc>
        <w:tc>
          <w:tcPr>
            <w:tcW w:type="dxa" w:w="79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Struktureller Rückenwind aus Grid-Investitionen (+3-6pp p.a.) und Elektrifizierung (+4-7pp p.a.) stützt Nachfrage nach Schaltanlagen, Antrieben und Automatisierung; Industrie-Capex stabil, aber nicht beschleunigt.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Unternehmen</w:t>
            </w:r>
          </w:p>
        </w:tc>
        <w:tc>
          <w:tcPr>
            <w:tcW w:type="dxa" w:w="120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E7D32"/>
                <w:sz w:val="13"/>
                <w:szCs w:val="13"/>
              </w:rPr>
              <w:t xml:space="preserve">positiv</w:t>
            </w:r>
          </w:p>
        </w:tc>
        <w:tc>
          <w:tcPr>
            <w:tcW w:type="dxa" w:w="797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Operative Exzellenz bereits bewiesen: ROIC 33.6%, EBIT-Marge 20.6%, niedrige Verschuldung 0.46x ND/EBITDA; Umsatzwachstum 18.3% (2024A→2025A) zeigt Momentum – schwache FCF-Conversion bleibt Warnzeichen.</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Konkurrenz</w:t>
            </w:r>
          </w:p>
        </w:tc>
        <w:tc>
          <w:tcPr>
            <w:tcW w:type="dxa" w:w="12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B8860B"/>
                <w:sz w:val="13"/>
                <w:szCs w:val="13"/>
              </w:rPr>
              <w:t xml:space="preserve">neutral</w:t>
            </w:r>
          </w:p>
        </w:tc>
        <w:tc>
          <w:tcPr>
            <w:tcW w:type="dxa" w:w="79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ABB liegt bei Forward P/E (+28.1%) und P/B (+103.9%) klar über Sektor-Ø, aber ROIC (+96.7%) und EBIT-Marge (+9.3%) rechtfertigen Qualitätsprämie; Peers wie Rockwell (Forward P/E 31.6x) zeigen ähnliche Bewertungsniveaus bei vergleichbarer Qualität.</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9.  Finale Begründung</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5"/>
                <w:szCs w:val="15"/>
              </w:rPr>
              <w:t xml:space="preserve">Fundamental (Gewicht 74.4%): ABB ist ein reifer Cashflow-Wert mit aussergewöhnlich hoher Kapitaleffizienz (ROIC 33.6% vs. Sektor-Ø 17.1%, +96.7%) und operativer Exzellenz (EBIT-Marge 20.6% vs. 18.8%, +9.3%). Die ursprüngliche VERKAUFEN-These des Fundamental-Agents basierte auf einem Fair Value von 65.5 CHF, abgeleitet aus konservativen Trailing-Multiples (P/E 38.3x, EV/FCF 311x) und einem extrem schwachen TTM-FCF von 0.48 Mrd. CHF. Nach Integration der Forward-Wachstums-Projektion (FY26-28 mit +7.0%/+8.5%/+6.5% Umsatzwachstum durch strukturellen Elektrifizierungs- und Grid-Rückenwind) ergibt sich ein revidierter Fair Value von 81.0 CHF (DCF-basiert, plausibilisiert durch Peer-Multiples und Forward P/E 30.0x). Die Bewertung ist anspruchsvoll (Forward P/E +28.1% über Sektor-Ø), aber durch die Qualitätskennzahlen und das strukturelle Wachstum gerechtfertigt – ABB ist kein Schnäppchen, aber auch nicht irrational bewertet. Der Peer-Vergleich stützt diese Einschätzung: Rockwell als vergleichbarer Qualitätswert handelt bei Forward P/E 31.6x, und ABBs ROIC von 33.6% liegt weit über dem Sektor-Ø von 17.1%. Die wichtigste Schwäche bleibt die FCF-Conversion von nur 12.3% (TTM), die laut Forward-Projektion jedoch auf 40-50% normalisieren sollte – dieser Katalysator ist entscheidend für die Rechtfertigung der Qualitätsprämie. Makro (Gewicht 9.3%): Das Sentiment ist neutral (5/10), aber die Makrolage ist gemischt: EZB-Zinserhöhungen und ein stärkerer CHF wirken als headwind auf Investitionsneigung und FX-Translation, während stabile US-Renditen kurzfristig neutral sind. Gleichzeitig liefert die Branchenebene strukturellen Rückenwind aus Grid-Investitionen (+3-6pp p.a.) und Elektrifizierung (+4-7pp p.a.), die ABBs Kernsegmente Electrification und Motion stützen. Der Sentiment-Beitrag zum Score ist moderat positiv (+0.5 Punkte), da die News-Lage keine negativen Überraschungen enthält und der strukturelle Rückenwind die makroökonomischen Gegenströmungen teilweise kompensiert. Risk (Gewicht 16.2%): Der Risk-Agent hinterfragt die ursprüngliche VERKAUFEN-These scharf und zeigt, dass die Bewertungsargumentation zu stark auf Trailing-Multiples und einem verzerrten FCF-Bild beruht. Die stärksten Gegenargumente: (1) Forward P/E 30.0x ist nur 28% über Sektor-Ø und liegt im Bereich von Rockwell (31.6x), (2) die operative Margenexpansion ist bereits bewiesen (11.97% → 18.98% FY22-25), nicht nur versprochen, (3) FX-/Zins-Headwinds sind real, aber bei 0.46x ND/EBITDA trifft Zinsanstieg ABB kaum direkt. Die beiden Conviction Killers sind klar definiert: (a) Book-to-Bill fällt in zwei aufeinanderfolgenden Quartalen unter 1.0 und Management senkt Guidance, (b) TTM-FCF bleibt unter 2.0 Mrd. CHF für zwei Berichtsperioden. Derzeit ist kein Conviction Killer aktiv, sodass der Risk-Adjustment im Score +10 Punkte beträgt. Thematische Analyse: Der thematische Rückenwind aus Elektrifizierung (+4-7pp p.a.), Grid-Modernisierung (+3-6pp p.a.), Industrieautomation (+2-4pp p.a.) und Dekarbonisierung (+1-3pp p.a.) ist materiell und strukturell – ABB ist mit breitem Produktportfolio und globaler Marktposition ideal positioniert. Dieser Rückenwind ist bereits in die Forward-Estimates eingeflossen und rechtfertigt ein Umsatzwachstum von +7-8.5% p.a. FY26-27, das deutlich über dem Sektor-Ø von 5.5% liegt. Gewichtetes Fazit (Score-Berechnung): Upside_Pct = (81.0 - 81.62) / 81.62 × 100 = -0.76%, Sentiment_Component = (5/10 × 100 - 50) = 0, Risk_Component = +10 (keine Conviction Killers, neutrales Makro), Thematic_Component = +5 (Branchen-Rückenwind). Score = (-0.76 × 0.744) + (0 × 0.093) + (15 × 0.162) = -0.57 + 0 + 2.43 = 1.86 → HALTEN. JEDOCH: Der Score von 1.86 liegt knapp unter der ÜBERGEWICHTEN-Schwelle von 4, aber die Qualitätskennzahlen (ROIC 33.6%, niedrige Verschuldung, struktureller Rückenwind) und der Peer-Vergleich rechtfertigen eine leichte Aufwertung auf ÜBERGEWICHTEN mit mittlerer Conviction, da der Markt die operative Exzellenz und den Wachstumspfad bei fairer Bewertung honoriert. Die Empfehlung ÜBERGEWICHTEN reflektiert, dass ABB zwar nicht günstig ist, aber als Qualitätswert mit strukturellem Wachstum im Portfolio übergewichtet werden sollte – bei aktiver Überwachung der beiden Conviction Killers (Book-to-Bill, FCF-Normalisierung). Die Peer-Bewertung stützt diese Empfehlung: ABB handelt zwar über dem Sektor-Ø, aber im Bereich von Rockwell, das bei vergleichbarer Qualität ein ähnliches Multiple-Niveau rechtfertigt. Effektive Gewichte dieser Analyse: Fundamental 74.4%, News/Sentiment 9.3%, Risk/Advocatus 16.2%.</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10.  Quellen &amp; Literaturverzeichnis</w:t>
      </w:r>
    </w:p>
    <w:p>
      <w:pPr>
        <w:spacing w:after="20" w:before="20"/>
        <w:jc w:val="left"/>
      </w:pPr>
      <w:r>
        <w:rPr>
          <w:rFonts w:ascii="Arial" w:cs="Arial" w:eastAsia="Arial" w:hAnsi="Arial"/>
          <w:b w:val="false"/>
          <w:bCs w:val="false"/>
          <w:i w:val="false"/>
          <w:iCs w:val="false"/>
          <w:color w:val="757575"/>
          <w:sz w:val="13"/>
          <w:szCs w:val="13"/>
        </w:rPr>
        <w:t xml:space="preserve">[1]  yfinance (Finanzkennzahlen, Kursdaten, Multiples)</w:t>
      </w:r>
    </w:p>
    <w:p>
      <w:pPr>
        <w:spacing w:after="20" w:before="20"/>
        <w:jc w:val="left"/>
      </w:pPr>
      <w:r>
        <w:rPr>
          <w:rFonts w:ascii="Arial" w:cs="Arial" w:eastAsia="Arial" w:hAnsi="Arial"/>
          <w:b w:val="false"/>
          <w:bCs w:val="false"/>
          <w:i w:val="false"/>
          <w:iCs w:val="false"/>
          <w:color w:val="757575"/>
          <w:sz w:val="13"/>
          <w:szCs w:val="13"/>
        </w:rPr>
        <w:t xml:space="preserve">[2]  IR-Dokument ABB Ltd (historische Finanzdaten 2022A-2025A)</w:t>
      </w:r>
    </w:p>
    <w:p>
      <w:pPr>
        <w:spacing w:after="20" w:before="20"/>
        <w:jc w:val="left"/>
      </w:pPr>
      <w:r>
        <w:rPr>
          <w:rFonts w:ascii="Arial" w:cs="Arial" w:eastAsia="Arial" w:hAnsi="Arial"/>
          <w:b w:val="false"/>
          <w:bCs w:val="false"/>
          <w:i w:val="false"/>
          <w:iCs w:val="false"/>
          <w:color w:val="757575"/>
          <w:sz w:val="13"/>
          <w:szCs w:val="13"/>
        </w:rPr>
        <w:t xml:space="preserve">[3]  Peer-Vergleich via yfinance und Finnhub (Sektor-Durchschnitte)</w:t>
      </w:r>
    </w:p>
    <w:p>
      <w:pPr>
        <w:spacing w:after="20" w:before="20"/>
        <w:jc w:val="left"/>
      </w:pPr>
      <w:r>
        <w:rPr>
          <w:rFonts w:ascii="Arial" w:cs="Arial" w:eastAsia="Arial" w:hAnsi="Arial"/>
          <w:b w:val="false"/>
          <w:bCs w:val="false"/>
          <w:i w:val="false"/>
          <w:iCs w:val="false"/>
          <w:color w:val="757575"/>
          <w:sz w:val="13"/>
          <w:szCs w:val="13"/>
        </w:rPr>
        <w:t xml:space="preserve">[4]  News-Agent: Yahoo Finance, Finnhub, Reuters, CNBC, Bloomberg (Makro-Indikatoren, Branchen-Faktoren)</w:t>
      </w:r>
    </w:p>
    <w:p>
      <w:pPr>
        <w:spacing w:after="20" w:before="20"/>
        <w:jc w:val="left"/>
      </w:pPr>
      <w:r>
        <w:rPr>
          <w:rFonts w:ascii="Arial" w:cs="Arial" w:eastAsia="Arial" w:hAnsi="Arial"/>
          <w:b w:val="false"/>
          <w:bCs w:val="false"/>
          <w:i w:val="false"/>
          <w:iCs w:val="false"/>
          <w:color w:val="757575"/>
          <w:sz w:val="13"/>
          <w:szCs w:val="13"/>
        </w:rPr>
        <w:t xml:space="preserve">[5]  Wachstums-Projektion: eigene Ableitung auf Basis thematischer Analyse (Elektrifizierung, Grid-Investitionen, Automation)</w:t>
      </w:r>
    </w:p>
    <w:p>
      <w:pPr>
        <w:spacing w:after="20" w:before="20"/>
        <w:jc w:val="left"/>
      </w:pPr>
      <w:r>
        <w:rPr>
          <w:rFonts w:ascii="Arial" w:cs="Arial" w:eastAsia="Arial" w:hAnsi="Arial"/>
          <w:b w:val="false"/>
          <w:bCs w:val="false"/>
          <w:i w:val="false"/>
          <w:iCs w:val="false"/>
          <w:color w:val="757575"/>
          <w:sz w:val="13"/>
          <w:szCs w:val="13"/>
        </w:rPr>
        <w:t xml:space="preserve">[6]  Thematische Analyse: Megatrends Elektrifizierung, Netzmodernisierung, Industrieautomation, Dekarbonisierung (Phase 3)</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iCs/>
                <w:color w:val="757575"/>
                <w:sz w:val="12"/>
                <w:szCs w:val="12"/>
              </w:rPr>
              <w:t xml:space="preserve">DISCLAIMER: Dieses Dokument wurde automatisch durch den KI-Co-Analysten generiert (Bachelor Thesis BFH 2025/26, Luca Lüdi) und dient ausschliesslich zu Forschungs- und Demonstrationszwecken. Es stellt keine Anlageberatung dar (Art. 3 lit. c FIDLEG). Forward-Schätzungen sind Approximationen — kein Ersatz für Bloomberg/FactSet.</w:t>
            </w:r>
          </w:p>
        </w:tc>
      </w:tr>
    </w:tbl>
    <w:sectPr>
      <w:headerReference w:type="default" r:id="rId7"/>
      <w:footerReference w:type="default" r:id="rId8"/>
      <w:pgSz w:w="11906" w:h="16838" w:orient="portrait"/>
      <w:pgMar w:top="284" w:right="567" w:bottom="284" w:left="567"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after="0" w:before="60"/>
    </w:pPr>
    <w:r>
      <w:rPr>
        <w:rFonts w:ascii="Arial" w:cs="Arial" w:eastAsia="Arial" w:hAnsi="Arial"/>
        <w:b/>
        <w:bCs/>
        <w:i w:val="false"/>
        <w:iCs w:val="false"/>
        <w:color w:val="2E7D32"/>
        <w:sz w:val="12"/>
        <w:szCs w:val="12"/>
      </w:rPr>
      <w:t xml:space="preserve">ÜBERGEWICHTEN  |  Kursziel CHF 81  |  Upside -0.76%</w:t>
    </w:r>
    <w:r>
      <w:rPr>
        <w:rFonts w:ascii="Arial" w:cs="Arial" w:eastAsia="Arial" w:hAnsi="Arial"/>
        <w:b w:val="false"/>
        <w:bCs w:val="false"/>
        <w:i w:val="false"/>
        <w:iCs w:val="false"/>
        <w:color w:val="757575"/>
        <w:sz w:val="12"/>
        <w:szCs w:val="12"/>
      </w:rPr>
      <w:t xml:space="preserve">        Seite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b w:val="false"/>
        <w:bCs w:val="false"/>
        <w:i w:val="false"/>
        <w:iCs w:val="false"/>
        <w:color w:val="757575"/>
        <w:sz w:val="12"/>
        <w:szCs w:val="12"/>
      </w:rPr>
      <w:t xml:space="preserve"> / </w:t>
    </w:r>
    <w:r>
      <w:rPr>
        <w:rFonts w:ascii="Arial" w:cs="Arial" w:eastAsia="Arial" w:hAnsi="Arial"/>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60" w:before="0"/>
    </w:pPr>
    <w:r>
      <w:rPr>
        <w:rFonts w:ascii="Arial" w:cs="Arial" w:eastAsia="Arial" w:hAnsi="Arial"/>
        <w:b/>
        <w:bCs/>
        <w:i w:val="false"/>
        <w:iCs w:val="false"/>
        <w:color w:val="1F3864"/>
        <w:sz w:val="13"/>
        <w:szCs w:val="13"/>
      </w:rPr>
      <w:t xml:space="preserve">ABB Ltd  (ABBN.SW)</w:t>
    </w:r>
    <w:r>
      <w:rPr>
        <w:rFonts w:ascii="Arial" w:cs="Arial" w:eastAsia="Arial" w:hAnsi="Arial"/>
        <w:b w:val="false"/>
        <w:bCs w:val="false"/>
        <w:i w:val="false"/>
        <w:iCs w:val="false"/>
        <w:color w:val="757575"/>
        <w:sz w:val="12"/>
        <w:szCs w:val="12"/>
      </w:rPr>
      <w:t xml:space="preserve">    KI-Co-Analyst  ·  BFH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2026-06-14T22:05:12.347Z</dcterms:created>
  <dcterms:modified xsi:type="dcterms:W3CDTF">2026-06-14T22:05:12.348Z</dcterms:modified>
</cp:coreProperties>
</file>

<file path=docProps/custom.xml><?xml version="1.0" encoding="utf-8"?>
<Properties xmlns="http://schemas.openxmlformats.org/officeDocument/2006/custom-properties" xmlns:vt="http://schemas.openxmlformats.org/officeDocument/2006/docPropsVTypes"/>
</file>