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6200"/>
        <w:gridCol w:w="4572"/>
      </w:tblGrid>
      <w:tr>
        <w:tc>
          <w:tcPr>
            <w:tcW w:type="dxa" w:w="6200"/>
            <w:gridSpan w:val="1"/>
            <w:tcBorders>
              <w:top w:val="none"/>
              <w:left w:val="none"/>
              <w:bottom w:val="none"/>
              <w:right w:val="none"/>
            </w:tcBorders>
            <w:shd w:fill="1F3864" w:val="clear"/>
            <w:tcMar>
              <w:top w:type="dxa" w:w="60"/>
              <w:left w:type="dxa" w:w="100"/>
              <w:bottom w:type="dxa" w:w="60"/>
              <w:right w:type="dxa" w:w="100"/>
            </w:tcMar>
            <w:vAlign w:val="center"/>
          </w:tcPr>
          <w:p>
            <w:pPr>
              <w:spacing w:after="60" w:before="0"/>
              <w:jc w:val="left"/>
            </w:pPr>
            <w:r>
              <w:rPr>
                <w:rFonts w:ascii="Arial" w:cs="Arial" w:eastAsia="Arial" w:hAnsi="Arial"/>
                <w:b/>
                <w:bCs/>
                <w:i w:val="false"/>
                <w:iCs w:val="false"/>
                <w:color w:val="FFFFFF"/>
                <w:sz w:val="34"/>
                <w:szCs w:val="34"/>
              </w:rPr>
              <w:t xml:space="preserve">Rigetti Computing, Inc.</w:t>
            </w:r>
          </w:p>
          <w:p>
            <w:pPr>
              <w:spacing w:after="40" w:before="0"/>
              <w:jc w:val="left"/>
            </w:pPr>
            <w:r>
              <w:rPr>
                <w:rFonts w:ascii="Arial" w:cs="Arial" w:eastAsia="Arial" w:hAnsi="Arial"/>
                <w:b w:val="false"/>
                <w:bCs w:val="false"/>
                <w:i w:val="false"/>
                <w:iCs w:val="false"/>
                <w:color w:val="B0BEC5"/>
                <w:sz w:val="14"/>
                <w:szCs w:val="14"/>
              </w:rPr>
              <w:t xml:space="preserve">RGTI  ·  Technology  ·  2026-06-14</w:t>
            </w:r>
          </w:p>
          <w:p>
            <w:pPr>
              <w:spacing w:after="0" w:before="0"/>
              <w:jc w:val="left"/>
            </w:pPr>
            <w:r>
              <w:rPr>
                <w:rFonts w:ascii="Arial" w:cs="Arial" w:eastAsia="Arial" w:hAnsi="Arial"/>
                <w:b w:val="false"/>
                <w:bCs w:val="false"/>
                <w:i/>
                <w:iCs/>
                <w:color w:val="78909C"/>
                <w:sz w:val="12"/>
                <w:szCs w:val="12"/>
              </w:rPr>
              <w:t xml:space="preserve">KI-Co-Analyst  ·  BFH Bachelor Thesis 2025/26  ·  Luca Lüdi</w:t>
            </w:r>
          </w:p>
        </w:tc>
        <w:tc>
          <w:tcPr>
            <w:tcW w:type="dxa" w:w="4572"/>
            <w:gridSpan w:val="1"/>
            <w:tcBorders>
              <w:top w:val="none"/>
              <w:left w:val="none"/>
              <w:bottom w:val="none"/>
              <w:right w:val="none"/>
            </w:tcBorders>
            <w:shd w:fill="0D2137" w:val="clear"/>
            <w:tcMar>
              <w:top w:type="dxa" w:w="60"/>
              <w:left w:type="dxa" w:w="100"/>
              <w:bottom w:type="dxa" w:w="60"/>
              <w:right w:type="dxa" w:w="100"/>
            </w:tcMar>
            <w:vAlign w:val="center"/>
          </w:tcPr>
          <w:p>
            <w:pPr>
              <w:spacing w:after="40" w:before="0"/>
              <w:jc w:val="center"/>
            </w:pPr>
            <w:r>
              <w:rPr>
                <w:rFonts w:ascii="Arial" w:cs="Arial" w:eastAsia="Arial" w:hAnsi="Arial"/>
                <w:b w:val="false"/>
                <w:bCs w:val="false"/>
                <w:i w:val="false"/>
                <w:iCs w:val="false"/>
                <w:color w:val="B0BEC5"/>
                <w:sz w:val="13"/>
                <w:szCs w:val="13"/>
              </w:rPr>
              <w:t xml:space="preserve">Empfehlung</w:t>
            </w:r>
          </w:p>
          <w:p>
            <w:pPr>
              <w:spacing w:after="0" w:before="0"/>
              <w:jc w:val="center"/>
            </w:pPr>
            <w:r>
              <w:rPr>
                <w:rFonts w:ascii="Arial" w:cs="Arial" w:eastAsia="Arial" w:hAnsi="Arial"/>
                <w:b/>
                <w:bCs/>
                <w:i w:val="false"/>
                <w:iCs w:val="false"/>
                <w:color w:val="C62828"/>
                <w:sz w:val="26"/>
                <w:szCs w:val="26"/>
              </w:rPr>
              <w:t xml:space="preserve">VERKAUFEN</w:t>
            </w:r>
          </w:p>
        </w:tc>
      </w:tr>
    </w:tbl>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154"/>
        <w:gridCol w:w="2154"/>
        <w:gridCol w:w="2154"/>
        <w:gridCol w:w="2154"/>
        <w:gridCol w:w="2154"/>
      </w:tblGrid>
      <w:tr>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Aktueller Kurs</w:t>
            </w:r>
          </w:p>
          <w:p>
            <w:pPr>
              <w:spacing w:after="0" w:before="0"/>
              <w:jc w:val="center"/>
            </w:pPr>
            <w:r>
              <w:rPr>
                <w:rFonts w:ascii="Arial" w:cs="Arial" w:eastAsia="Arial" w:hAnsi="Arial"/>
                <w:b/>
                <w:bCs/>
                <w:i w:val="false"/>
                <w:iCs w:val="false"/>
                <w:color w:val="1F3864"/>
                <w:sz w:val="19"/>
                <w:szCs w:val="19"/>
              </w:rPr>
              <w:t xml:space="preserve">USD 20.98</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Kursziel (12M)</w:t>
            </w:r>
          </w:p>
          <w:p>
            <w:pPr>
              <w:spacing w:after="0" w:before="0"/>
              <w:jc w:val="center"/>
            </w:pPr>
            <w:r>
              <w:rPr>
                <w:rFonts w:ascii="Arial" w:cs="Arial" w:eastAsia="Arial" w:hAnsi="Arial"/>
                <w:b/>
                <w:bCs/>
                <w:i w:val="false"/>
                <w:iCs w:val="false"/>
                <w:color w:val="1F3864"/>
                <w:sz w:val="19"/>
                <w:szCs w:val="19"/>
              </w:rPr>
              <w:t xml:space="preserve">USD 12.73</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Upside / Downside</w:t>
            </w:r>
          </w:p>
          <w:p>
            <w:pPr>
              <w:spacing w:after="0" w:before="0"/>
              <w:jc w:val="center"/>
            </w:pPr>
            <w:r>
              <w:rPr>
                <w:rFonts w:ascii="Arial" w:cs="Arial" w:eastAsia="Arial" w:hAnsi="Arial"/>
                <w:b/>
                <w:bCs/>
                <w:i w:val="false"/>
                <w:iCs w:val="false"/>
                <w:color w:val="C62828"/>
                <w:sz w:val="19"/>
                <w:szCs w:val="19"/>
              </w:rPr>
              <w:t xml:space="preserve">-39.32%</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Marktkapitalisierung</w:t>
            </w:r>
          </w:p>
          <w:p>
            <w:pPr>
              <w:spacing w:after="0" w:before="0"/>
              <w:jc w:val="center"/>
            </w:pPr>
            <w:r>
              <w:rPr>
                <w:rFonts w:ascii="Arial" w:cs="Arial" w:eastAsia="Arial" w:hAnsi="Arial"/>
                <w:b/>
                <w:bCs/>
                <w:i w:val="false"/>
                <w:iCs w:val="false"/>
                <w:color w:val="1F3864"/>
                <w:sz w:val="19"/>
                <w:szCs w:val="19"/>
              </w:rPr>
              <w:t xml:space="preserve">n/v</w:t>
            </w:r>
          </w:p>
        </w:tc>
        <w:tc>
          <w:tcPr>
            <w:tcW w:type="dxa" w:w="2154"/>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20" w:before="0"/>
              <w:jc w:val="center"/>
            </w:pPr>
            <w:r>
              <w:rPr>
                <w:rFonts w:ascii="Arial" w:cs="Arial" w:eastAsia="Arial" w:hAnsi="Arial"/>
                <w:b w:val="false"/>
                <w:bCs w:val="false"/>
                <w:i w:val="false"/>
                <w:iCs w:val="false"/>
                <w:color w:val="757575"/>
                <w:sz w:val="12"/>
                <w:szCs w:val="12"/>
              </w:rPr>
              <w:t xml:space="preserve">Conviction Level</w:t>
            </w:r>
          </w:p>
          <w:p>
            <w:pPr>
              <w:spacing w:after="0" w:before="0"/>
              <w:jc w:val="center"/>
            </w:pPr>
            <w:r>
              <w:rPr>
                <w:rFonts w:ascii="Arial" w:cs="Arial" w:eastAsia="Arial" w:hAnsi="Arial"/>
                <w:b/>
                <w:bCs/>
                <w:i w:val="false"/>
                <w:iCs w:val="false"/>
                <w:color w:val="1F3864"/>
                <w:sz w:val="19"/>
                <w:szCs w:val="19"/>
              </w:rPr>
              <w:t xml:space="preserve">mittel</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Das Wichtigste in Kürze</w:t>
      </w:r>
    </w:p>
    <w:p>
      <w:pPr>
        <w:spacing w:after="80" w:before="0"/>
        <w:jc w:val="left"/>
      </w:pPr>
      <w:r>
        <w:rPr>
          <w:rFonts w:ascii="Arial" w:cs="Arial" w:eastAsia="Arial" w:hAnsi="Arial"/>
          <w:b/>
          <w:bCs/>
          <w:i w:val="false"/>
          <w:iCs w:val="false"/>
          <w:color w:val="000000"/>
          <w:sz w:val="18"/>
          <w:szCs w:val="18"/>
        </w:rPr>
        <w:t xml:space="preserve">Quantencomputer-Hoffnung trifft auf Realität: viel zu teuer für die heutige Geschäftslage — Verkaufen.</w:t>
      </w:r>
    </w:p>
    <w:p>
      <w:pPr>
        <w:spacing w:after="120" w:before="0"/>
        <w:jc w:val="left"/>
      </w:pPr>
      <w:r>
        <w:rPr>
          <w:rFonts w:ascii="Arial" w:cs="Arial" w:eastAsia="Arial" w:hAnsi="Arial"/>
          <w:b w:val="false"/>
          <w:bCs w:val="false"/>
          <w:i w:val="false"/>
          <w:iCs w:val="false"/>
          <w:color w:val="000000"/>
          <w:sz w:val="16"/>
          <w:szCs w:val="16"/>
        </w:rPr>
        <w:t xml:space="preserve">Rigetti Computing entwickelt Quantencomputer, eine sehr neue Technologie, die heute noch keine nennenswerten Umsätze bringt. Die Aktie ist extrem teuer im Vergleich zu den tatsächlichen Einnahmen: Das Unternehmen hat zuletzt nur rund 7 Millionen Dollar Umsatz gemacht, aber die Börse bewertet es mit fast 7 Milliarden Dollar. Wir empfehlen zu verkaufen, weil die Hoffnung auf zukünftige Erfolge bereits viel zu hoch eingepreist ist und die Firma weiterhin viel Geld verbrennt, ohne dass ein klarer Durchbruch in Sicht ist. Das grösste Risiko ist, dass die Technologie langsamer vorankommt als erhofft und das Unternehmen zusätzliche Finanzierungen braucht, was die bestehenden Aktionäre verwässert.</w:t>
      </w:r>
    </w:p>
    <w:p>
      <w:pPr>
        <w:pBdr>
          <w:bottom w:val="single" w:color="C9A84C" w:sz="6" w:space="2"/>
        </w:pBdr>
        <w:spacing w:after="80" w:before="180"/>
      </w:pPr>
      <w:r>
        <w:rPr>
          <w:rFonts w:ascii="Arial" w:cs="Arial" w:eastAsia="Arial" w:hAnsi="Arial"/>
          <w:b/>
          <w:bCs/>
          <w:i w:val="false"/>
          <w:iCs w:val="false"/>
          <w:color w:val="1F3864"/>
          <w:sz w:val="19"/>
          <w:szCs w:val="19"/>
        </w:rPr>
        <w:t xml:space="preserve">1.  Unternehmensbeschreibung</w:t>
      </w:r>
    </w:p>
    <w:p>
      <w:pPr>
        <w:spacing w:after="60" w:before="0"/>
        <w:jc w:val="left"/>
      </w:pPr>
      <w:r>
        <w:rPr>
          <w:rFonts w:ascii="Arial" w:cs="Arial" w:eastAsia="Arial" w:hAnsi="Arial"/>
          <w:b w:val="false"/>
          <w:bCs w:val="false"/>
          <w:i w:val="false"/>
          <w:iCs w:val="false"/>
          <w:color w:val="000000"/>
          <w:sz w:val="16"/>
          <w:szCs w:val="16"/>
        </w:rPr>
        <w:t xml:space="preserve">Rigetti Computing entwickelt und betreibt supraleitende Quantencomputer sowie Quantum Computing as a Service (QCaaS) für Unternehmens-, Regierungs- und Forschungskunden. Das Unternehmen ist ein Deep-Tech-Optionality-Play mit sehr geringem aktuellem Umsatz (2025A: 7.1 Mio. USD) und hoher Abhängigkeit von zukünftiger Technologie- und Kommerzialisierungsdurchdringung. Der Geschäftsschwerpunkt liegt auf frühen Pilotprojekten, staatlicher Förderung und Cloud-basierten Zugängen zu Quantenressourcen.</w:t>
      </w:r>
    </w:p>
    <w:p>
      <w:pPr>
        <w:pBdr>
          <w:bottom w:val="single" w:color="C9A84C" w:sz="6" w:space="2"/>
        </w:pBdr>
        <w:spacing w:after="80" w:before="180"/>
      </w:pPr>
      <w:r>
        <w:rPr>
          <w:rFonts w:ascii="Arial" w:cs="Arial" w:eastAsia="Arial" w:hAnsi="Arial"/>
          <w:b/>
          <w:bCs/>
          <w:i w:val="false"/>
          <w:iCs w:val="false"/>
          <w:color w:val="1F3864"/>
          <w:sz w:val="19"/>
          <w:szCs w:val="19"/>
        </w:rPr>
        <w:t xml:space="preserve">2.  Investment Case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Komfortable Liquidität mit 418.2 Mio. USD Cash gegenüber nur 6.8 Mio. USD Schulden (Netto-Cash-Position) stützt den operativen Runway trotz hoher Verluste und gibt dem Management Zeit für Skalierungsversuche. (Quelle: yfinance)</w:t>
      </w:r>
      <w:r>
        <w:rPr>
          <w:rFonts w:ascii="Arial" w:cs="Arial" w:eastAsia="Arial" w:hAnsi="Arial"/>
          <w:b w:val="false"/>
          <w:bCs w:val="false"/>
          <w:i/>
          <w:iCs/>
          <w:color w:val="757575"/>
          <w:sz w:val="13"/>
          <w:szCs w:val="13"/>
        </w:rPr>
        <w:t xml:space="preserve">  [yfinance]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Peer-Vergleich zeigt extreme Bewertung: EV/Sales 655.2x liegt 113% über dem Sektor-Durchschnitt von 307.4x und sogar über D-Wave (QBTS) mit 651.2x; nur IonQ (IONQ) ist mit 104.8x deutlich günstiger bewertet. Das signalisiert hohe Erwartungen, aber auch hohes Enttäuschungsrisiko. (Quelle: Peer-Vergleich via yfinance)</w:t>
      </w:r>
      <w:r>
        <w:rPr>
          <w:rFonts w:ascii="Arial" w:cs="Arial" w:eastAsia="Arial" w:hAnsi="Arial"/>
          <w:b w:val="false"/>
          <w:bCs w:val="false"/>
          <w:i/>
          <w:iCs/>
          <w:color w:val="757575"/>
          <w:sz w:val="13"/>
          <w:szCs w:val="13"/>
        </w:rPr>
        <w:t xml:space="preserve">  [yfinance]</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Die Wachstumsprognose sieht Umsatzanstieg von 7.1 Mio. USD (2025A) auf 92 Mio. USD (2026E), 129 Mio. USD (2027E) und 174 Mio. USD (2028E) vor — ein durchschnittliches jährliches Wachstum von ca. 35%, aber von sehr kleiner Basis und ohne historischen Nachweis vergleichbarer Skalierung. (Quelle: Forward-Estimates aus LLM-Ableitung)</w:t>
      </w:r>
      <w:r>
        <w:rPr>
          <w:rFonts w:ascii="Arial" w:cs="Arial" w:eastAsia="Arial" w:hAnsi="Arial"/>
          <w:b w:val="false"/>
          <w:bCs w:val="false"/>
          <w:i/>
          <w:iCs/>
          <w:color w:val="757575"/>
          <w:sz w:val="13"/>
          <w:szCs w:val="13"/>
        </w:rPr>
        <w:t xml:space="preserve">  [LLM-Ableitung]</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EBITDA-Margen bleiben tief negativ (-1800% in 2026E, -1200% in 2027E, -900% in 2028E), was bedeutet, dass selbst bei starkem Umsatzwachstum die Profitabilität erst in ferner Zukunft erreicht wird und weitere Verwässerung wahrscheinlich ist. (Quelle: Forward-Estimates)</w:t>
      </w:r>
      <w:r>
        <w:rPr>
          <w:rFonts w:ascii="Arial" w:cs="Arial" w:eastAsia="Arial" w:hAnsi="Arial"/>
          <w:b w:val="false"/>
          <w:bCs w:val="false"/>
          <w:i/>
          <w:iCs/>
          <w:color w:val="757575"/>
          <w:sz w:val="13"/>
          <w:szCs w:val="13"/>
        </w:rPr>
        <w:t xml:space="preserve">  [LLM-Ableitung]</w:t>
      </w:r>
    </w:p>
    <w:p>
      <w:pPr>
        <w:pStyle w:val="ListParagraph"/>
        <w:numPr>
          <w:ilvl w:val="0"/>
          <w:numId w:val="2"/>
        </w:numPr>
        <w:spacing w:after="40" w:before="40"/>
      </w:pPr>
      <w:r>
        <w:rPr>
          <w:rFonts w:ascii="Arial" w:cs="Arial" w:eastAsia="Arial" w:hAnsi="Arial"/>
          <w:b w:val="false"/>
          <w:bCs w:val="false"/>
          <w:i w:val="false"/>
          <w:iCs w:val="false"/>
          <w:color w:val="000000"/>
          <w:sz w:val="16"/>
          <w:szCs w:val="16"/>
        </w:rPr>
        <w:t xml:space="preserve">FCF Conversion bei nur 34.21% und FCF-Yield von -1.11% signalisieren schwache Cashflow-Qualität; das triggert IR-Verifikationsempfehlung und zeigt, dass die Ergebnisqualität fragwürdig ist. (Quelle: yfinance Cashflow-Daten)</w:t>
      </w:r>
      <w:r>
        <w:rPr>
          <w:rFonts w:ascii="Arial" w:cs="Arial" w:eastAsia="Arial" w:hAnsi="Arial"/>
          <w:b w:val="false"/>
          <w:bCs w:val="false"/>
          <w:i/>
          <w:iCs/>
          <w:color w:val="757575"/>
          <w:sz w:val="13"/>
          <w:szCs w:val="13"/>
        </w:rPr>
        <w:t xml:space="preserve">  [yfinance]</w:t>
      </w:r>
    </w:p>
    <w:p>
      <w:pPr>
        <w:pBdr>
          <w:bottom w:val="single" w:color="C9A84C" w:sz="6" w:space="2"/>
        </w:pBdr>
        <w:spacing w:after="80" w:before="180"/>
      </w:pPr>
      <w:r>
        <w:rPr>
          <w:rFonts w:ascii="Arial" w:cs="Arial" w:eastAsia="Arial" w:hAnsi="Arial"/>
          <w:b/>
          <w:bCs/>
          <w:i w:val="false"/>
          <w:iCs w:val="false"/>
          <w:color w:val="1F3864"/>
          <w:sz w:val="19"/>
          <w:szCs w:val="19"/>
        </w:rPr>
        <w:t xml:space="preserve">3.  Finanzübersicht (in Mrd. Berichtswährung, ausser je Aktie)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760"/>
        <w:gridCol w:w="840"/>
        <w:gridCol w:w="800"/>
        <w:gridCol w:w="760"/>
        <w:gridCol w:w="680"/>
        <w:gridCol w:w="620"/>
        <w:gridCol w:w="600"/>
        <w:gridCol w:w="680"/>
        <w:gridCol w:w="800"/>
        <w:gridCol w:w="680"/>
        <w:gridCol w:w="3552"/>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Jahr</w:t>
            </w:r>
          </w:p>
        </w:tc>
        <w:tc>
          <w:tcPr>
            <w:tcW w:type="dxa" w:w="84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Umsatz</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EBITDA</w:t>
            </w:r>
          </w:p>
        </w:tc>
        <w:tc>
          <w:tcPr>
            <w:tcW w:type="dxa" w:w="7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EBITDA-%</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EBIT-%</w:t>
            </w:r>
          </w:p>
        </w:tc>
        <w:tc>
          <w:tcPr>
            <w:tcW w:type="dxa" w:w="62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EPS</w:t>
            </w:r>
          </w:p>
        </w:tc>
        <w:tc>
          <w:tcPr>
            <w:tcW w:type="dxa" w:w="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DPS</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FCF</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ND/EBITDA</w:t>
            </w:r>
          </w:p>
        </w:tc>
        <w:tc>
          <w:tcPr>
            <w:tcW w:type="dxa" w:w="6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ROIC-%</w:t>
            </w:r>
          </w:p>
        </w:tc>
        <w:tc>
          <w:tcPr>
            <w:tcW w:type="dxa" w:w="355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Quelle</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2022A</w:t>
            </w:r>
          </w:p>
        </w:tc>
        <w:tc>
          <w:tcPr>
            <w:tcW w:type="dxa" w:w="8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0.0131</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-0.0592</w:t>
            </w:r>
          </w:p>
        </w:tc>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-451.9084</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-505.3435</w:t>
            </w:r>
          </w:p>
        </w:tc>
        <w:tc>
          <w:tcPr>
            <w:tcW w:type="dxa" w:w="6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-0.7</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-0.0854</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yfinance</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2023A</w:t>
            </w:r>
          </w:p>
        </w:tc>
        <w:tc>
          <w:tcPr>
            <w:tcW w:type="dxa" w:w="84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0.012</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-0.0619</w:t>
            </w:r>
          </w:p>
        </w:tc>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-515.8333</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-577.5</w:t>
            </w:r>
          </w:p>
        </w:tc>
        <w:tc>
          <w:tcPr>
            <w:tcW w:type="dxa" w:w="62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-0.57</w:t>
            </w:r>
          </w:p>
        </w:tc>
        <w:tc>
          <w:tcPr>
            <w:tcW w:type="dxa" w:w="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-0.0596</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yfinance</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2024A</w:t>
            </w:r>
          </w:p>
        </w:tc>
        <w:tc>
          <w:tcPr>
            <w:tcW w:type="dxa" w:w="84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0.0108</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-0.1908</w:t>
            </w:r>
          </w:p>
        </w:tc>
        <w:tc>
          <w:tcPr>
            <w:tcW w:type="dxa" w:w="7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-1766.6667</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-1830.5556</w:t>
            </w:r>
          </w:p>
        </w:tc>
        <w:tc>
          <w:tcPr>
            <w:tcW w:type="dxa" w:w="6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-1.09</w:t>
            </w:r>
          </w:p>
        </w:tc>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-0.0617</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yfinance</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2025A</w:t>
            </w:r>
          </w:p>
        </w:tc>
        <w:tc>
          <w:tcPr>
            <w:tcW w:type="dxa" w:w="84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0.0071</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-0.208</w:t>
            </w:r>
          </w:p>
        </w:tc>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-2929.5775</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-3045.0704</w:t>
            </w:r>
          </w:p>
        </w:tc>
        <w:tc>
          <w:tcPr>
            <w:tcW w:type="dxa" w:w="62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-0.7</w:t>
            </w:r>
          </w:p>
        </w:tc>
        <w:tc>
          <w:tcPr>
            <w:tcW w:type="dxa" w:w="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-0.0772</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A = Istzahlen | yfinance</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2026E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0.0092</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-0.1656</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-1800</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-0.9</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E = Schätzung (Quelle: LLM-Ableitung aus Forward-Estimates-Wachstumsprognose)</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2027E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0.0129</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-0.1548</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-1200</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-0.82</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E = Schätzung (Quelle: LLM-Ableitung aus Forward-Estimates-Wachstumsprognose)</w:t>
            </w:r>
          </w:p>
        </w:tc>
      </w:tr>
      <w:tr>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E65100"/>
                <w:sz w:val="13"/>
                <w:szCs w:val="13"/>
              </w:rPr>
              <w:t xml:space="preserve">📊 2028E</w:t>
            </w:r>
          </w:p>
        </w:tc>
        <w:tc>
          <w:tcPr>
            <w:tcW w:type="dxa" w:w="84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0.0174</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-0.1566</w:t>
            </w:r>
          </w:p>
        </w:tc>
        <w:tc>
          <w:tcPr>
            <w:tcW w:type="dxa" w:w="76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-900</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-0.75</w:t>
            </w:r>
          </w:p>
        </w:tc>
        <w:tc>
          <w:tcPr>
            <w:tcW w:type="dxa" w:w="6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8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68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w:t>
            </w:r>
          </w:p>
        </w:tc>
        <w:tc>
          <w:tcPr>
            <w:tcW w:type="dxa" w:w="3552"/>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E = Schätzung (Quelle: LLM-Ableitung aus Forward-Estimates-Wachstumsprognose)</w:t>
            </w:r>
          </w:p>
        </w:tc>
      </w:tr>
      <w:tr>
        <w:tc>
          <w:tcPr>
            <w:tcW w:type="dxa" w:w="7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757575"/>
                <w:sz w:val="12"/>
                <w:szCs w:val="12"/>
              </w:rPr>
              <w:t xml:space="preserve">ℹ</w:t>
            </w:r>
          </w:p>
        </w:tc>
        <w:tc>
          <w:tcPr>
            <w:tcW w:type="dxa" w:w="10012"/>
            <w:gridSpan w:val="10"/>
            <w:tcBorders>
              <w:top w:val="single" w:color="CCCCCC" w:sz="1"/>
              <w:left w:val="single" w:color="CCCCCC" w:sz="1"/>
              <w:bottom w:val="single" w:color="CCCCCC" w:sz="1"/>
              <w:right w:val="single" w:color="CCCCCC" w:sz="1"/>
            </w:tcBorders>
            <w:shd w:fill="F5F5F5" w:val="clear"/>
            <w:tcMar>
              <w:top w:type="dxa" w:w="40"/>
              <w:left w:type="dxa" w:w="100"/>
              <w:bottom w:type="dxa" w:w="40"/>
              <w:right w:type="dxa" w:w="100"/>
            </w:tcMar>
          </w:tcPr>
          <w:p>
            <w:pPr>
              <w:spacing w:after="0" w:before="0"/>
              <w:jc w:val="left"/>
            </w:pPr>
            <w:r>
              <w:rPr>
                <w:rFonts w:ascii="Arial" w:cs="Arial" w:eastAsia="Arial" w:hAnsi="Arial"/>
                <w:b w:val="false"/>
                <w:bCs w:val="false"/>
                <w:i/>
                <w:iCs/>
                <w:color w:val="757575"/>
                <w:sz w:val="11"/>
                <w:szCs w:val="11"/>
              </w:rPr>
              <w:t xml:space="preserve">A = Istzahlen (geprüft)  |  📊 E = Schätzwert  |  Forward-Schätzungen: Approximation — kein Ersatz für Bloomberg/FactSet</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4.  Bewertung gegenüber Peer und Historischen Kennzahlen</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400"/>
        <w:gridCol w:w="3372"/>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Kennzahl</w:t>
            </w:r>
          </w:p>
        </w:tc>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Aktuell</w:t>
            </w:r>
          </w:p>
        </w:tc>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Peer-Median</w:t>
            </w:r>
          </w:p>
        </w:tc>
        <w:tc>
          <w:tcPr>
            <w:tcW w:type="dxa" w:w="2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Hist. Ø 5J</w:t>
            </w:r>
          </w:p>
        </w:tc>
        <w:tc>
          <w:tcPr>
            <w:tcW w:type="dxa" w:w="337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Einschätzung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EV/Sales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655.2x</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307.4x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342.7x (2024), 12.0x (2023)</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EV/EBITDA</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-82.0x</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-28.4x</w:t>
            </w:r>
          </w:p>
        </w:tc>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nicht verfügbar</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Forward P/E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-103.2x</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-43.7x</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nicht verfügbar</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P/B</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11.9x</w:t>
            </w:r>
          </w:p>
        </w:tc>
        <w:tc>
          <w:tcPr>
            <w:tcW w:type="dxa" w:w="1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5.9x</w:t>
            </w:r>
          </w:p>
        </w:tc>
        <w:tc>
          <w:tcPr>
            <w:tcW w:type="dxa" w:w="24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29.1x (2024), 1.3x (2023)</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4"/>
                <w:szCs w:val="14"/>
              </w:rPr>
              <w:t xml:space="preserve">P/FCF</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F3864"/>
                <w:sz w:val="14"/>
                <w:szCs w:val="14"/>
              </w:rPr>
              <w:t xml:space="preserve">-1123.0x</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nicht verfügbar</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4"/>
                <w:szCs w:val="14"/>
              </w:rPr>
              <w:t xml:space="preserve">nicht verfügbar</w:t>
            </w:r>
          </w:p>
        </w:tc>
        <w:tc>
          <w:tcPr>
            <w:tcW w:type="dxa" w:w="3372"/>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ELEVATED</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5.  Peer-Vergleich</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960"/>
        <w:gridCol w:w="880"/>
        <w:gridCol w:w="880"/>
        <w:gridCol w:w="960"/>
        <w:gridCol w:w="880"/>
        <w:gridCol w:w="2812"/>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Unternehmen</w:t>
            </w:r>
          </w:p>
        </w:tc>
        <w:tc>
          <w:tcPr>
            <w:tcW w:type="dxa" w:w="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Land</w:t>
            </w:r>
          </w:p>
        </w:tc>
        <w:tc>
          <w:tcPr>
            <w:tcW w:type="dxa" w:w="9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EV/EBITDA</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Fwd. P/E</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EBIT-%</w:t>
            </w:r>
          </w:p>
        </w:tc>
        <w:tc>
          <w:tcPr>
            <w:tcW w:type="dxa" w:w="9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ND/EBITDA</w:t>
            </w:r>
          </w:p>
        </w:tc>
        <w:tc>
          <w:tcPr>
            <w:tcW w:type="dxa" w:w="88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Div.-%</w:t>
            </w:r>
          </w:p>
        </w:tc>
        <w:tc>
          <w:tcPr>
            <w:tcW w:type="dxa" w:w="281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Wachstum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IonQ, Inc.</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-29.6</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-55.5</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-401.8</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3.02</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754.7</w:t>
            </w:r>
          </w:p>
        </w:tc>
      </w:tr>
      <w:tr>
        <w:tc>
          <w:tcPr>
            <w:tcW w:type="dxa" w:w="26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D-Wave Quantum Inc.</w:t>
            </w:r>
          </w:p>
        </w:tc>
        <w:tc>
          <w:tcPr>
            <w:tcW w:type="dxa" w:w="8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-58.4</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-60.8</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-1914.9</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3.9</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-80.9</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Quantum Computing Inc.</w:t>
            </w:r>
          </w:p>
        </w:tc>
        <w:tc>
          <w:tcPr>
            <w:tcW w:type="dxa" w:w="8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-21.7</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-45.8</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-556.8</w:t>
            </w:r>
          </w:p>
        </w:tc>
        <w:tc>
          <w:tcPr>
            <w:tcW w:type="dxa" w:w="96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16.93</w:t>
            </w:r>
          </w:p>
        </w:tc>
        <w:tc>
          <w:tcPr>
            <w:tcW w:type="dxa" w:w="88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9364.1</w:t>
            </w:r>
          </w:p>
        </w:tc>
      </w:tr>
      <w:tr>
        <w:tc>
          <w:tcPr>
            <w:tcW w:type="dxa" w:w="26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Arqit Quantum Inc.</w:t>
            </w:r>
          </w:p>
        </w:tc>
        <w:tc>
          <w:tcPr>
            <w:tcW w:type="dxa" w:w="80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222222"/>
                <w:sz w:val="13"/>
                <w:szCs w:val="13"/>
              </w:rPr>
              <w:t xml:space="preserve">United Kingdom</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-12.8</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-4931.6</w:t>
            </w:r>
          </w:p>
        </w:tc>
        <w:tc>
          <w:tcPr>
            <w:tcW w:type="dxa" w:w="96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0.53</w:t>
            </w:r>
          </w:p>
        </w:tc>
        <w:tc>
          <w:tcPr>
            <w:tcW w:type="dxa" w:w="880"/>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FAFAFA"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222222"/>
                <w:sz w:val="13"/>
                <w:szCs w:val="13"/>
              </w:rPr>
              <w:t xml:space="preserve">829.9</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Ø  Sektor-Durchschnitt</w:t>
            </w:r>
          </w:p>
        </w:tc>
        <w:tc>
          <w:tcPr>
            <w:tcW w:type="dxa" w:w="8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n/v</w:t>
            </w:r>
          </w:p>
        </w:tc>
        <w:tc>
          <w:tcPr>
            <w:tcW w:type="dxa" w:w="9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-28.43</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-43.73</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-1951.28</w:t>
            </w:r>
          </w:p>
        </w:tc>
        <w:tc>
          <w:tcPr>
            <w:tcW w:type="dxa" w:w="96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6.09</w:t>
            </w:r>
          </w:p>
        </w:tc>
        <w:tc>
          <w:tcPr>
            <w:tcW w:type="dxa" w:w="88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222222"/>
                <w:sz w:val="13"/>
                <w:szCs w:val="13"/>
              </w:rPr>
              <w:t xml:space="preserve">2716.95</w:t>
            </w:r>
          </w:p>
        </w:tc>
      </w:tr>
      <w:tr>
        <w:tc>
          <w:tcPr>
            <w:tcW w:type="dxa" w:w="260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 Rigetti Computing, Inc.</w:t>
            </w:r>
          </w:p>
        </w:tc>
        <w:tc>
          <w:tcPr>
            <w:tcW w:type="dxa" w:w="80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222222"/>
                <w:sz w:val="13"/>
                <w:szCs w:val="13"/>
              </w:rPr>
              <w:t xml:space="preserve">United States</w:t>
            </w:r>
          </w:p>
        </w:tc>
        <w:tc>
          <w:tcPr>
            <w:tcW w:type="dxa" w:w="96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-82</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-103.2</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-589.8</w:t>
            </w:r>
          </w:p>
        </w:tc>
        <w:tc>
          <w:tcPr>
            <w:tcW w:type="dxa" w:w="96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5.14</w:t>
            </w:r>
          </w:p>
        </w:tc>
        <w:tc>
          <w:tcPr>
            <w:tcW w:type="dxa" w:w="880"/>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n/v</w:t>
            </w:r>
          </w:p>
        </w:tc>
        <w:tc>
          <w:tcPr>
            <w:tcW w:type="dxa" w:w="2812"/>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1565C0"/>
                <w:sz w:val="13"/>
                <w:szCs w:val="13"/>
              </w:rPr>
              <w:t xml:space="preserve">198.9</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6.  Szenarien — Bear / Base / Bull Case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3590"/>
        <w:gridCol w:w="3590"/>
        <w:gridCol w:w="3592"/>
      </w:tblGrid>
      <w:tr>
        <w:tc>
          <w:tcPr>
            <w:tcW w:type="dxa" w:w="3590"/>
            <w:tcBorders>
              <w:top w:val="single" w:color="E53935" w:sz="8"/>
              <w:left w:val="single" w:color="E53935" w:sz="8"/>
              <w:bottom w:val="single" w:color="E53935" w:sz="2"/>
              <w:right w:val="single" w:color="E53935" w:sz="2"/>
            </w:tcBorders>
            <w:shd w:fill="FFEBEE"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Bear Case</w:t>
            </w:r>
          </w:p>
          <w:p>
            <w:pPr>
              <w:spacing w:after="40" w:before="0"/>
              <w:jc w:val="center"/>
            </w:pPr>
            <w:r>
              <w:rPr>
                <w:rFonts w:ascii="Arial" w:cs="Arial" w:eastAsia="Arial" w:hAnsi="Arial"/>
                <w:b/>
                <w:bCs/>
                <w:i w:val="false"/>
                <w:iCs w:val="false"/>
                <w:color w:val="C62828"/>
                <w:sz w:val="24"/>
                <w:szCs w:val="24"/>
              </w:rPr>
              <w:t xml:space="preserve">6.5</w:t>
            </w:r>
          </w:p>
          <w:p>
            <w:pPr>
              <w:spacing w:after="80" w:before="0"/>
              <w:jc w:val="center"/>
            </w:pPr>
            <w:r>
              <w:rPr>
                <w:rFonts w:ascii="Arial" w:cs="Arial" w:eastAsia="Arial" w:hAnsi="Arial"/>
                <w:b/>
                <w:bCs/>
                <w:i w:val="false"/>
                <w:iCs w:val="false"/>
                <w:color w:val="757575"/>
                <w:sz w:val="13"/>
                <w:szCs w:val="13"/>
              </w:rPr>
              <w:t xml:space="preserve">Wahrscheinlichkeit: 45%</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Die Technologie skaliert langsamer als erwartet, Umsatz bleibt nahe 2025A-Niveau, und eine weitere Kapitalerhöhung oder Verwässerung wird nötig, bevor ein belastbarer Kommerzialisierungsnachweis gelingt.</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Nächster Quartalsbericht zeigt erneut keine substanzielle Beschleunigung bei Revenue, Gross Margin bleibt unter 35% und FCF-Burn bleibt schlechter als -70 Mio. USD annualisiert.</w:t>
            </w:r>
          </w:p>
        </w:tc>
        <w:tc>
          <w:tcPr>
            <w:tcW w:type="dxa" w:w="3590"/>
            <w:tcBorders>
              <w:top w:val="single" w:color="F9A825" w:sz="8"/>
              <w:left w:val="single" w:color="F9A825" w:sz="8"/>
              <w:bottom w:val="single" w:color="F9A825" w:sz="2"/>
              <w:right w:val="single" w:color="F9A825" w:sz="2"/>
            </w:tcBorders>
            <w:shd w:fill="FFF8E1"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Base Case</w:t>
            </w:r>
          </w:p>
          <w:p>
            <w:pPr>
              <w:spacing w:after="40" w:before="0"/>
              <w:jc w:val="center"/>
            </w:pPr>
            <w:r>
              <w:rPr>
                <w:rFonts w:ascii="Arial" w:cs="Arial" w:eastAsia="Arial" w:hAnsi="Arial"/>
                <w:b/>
                <w:bCs/>
                <w:i w:val="false"/>
                <w:iCs w:val="false"/>
                <w:color w:val="B8860B"/>
                <w:sz w:val="24"/>
                <w:szCs w:val="24"/>
              </w:rPr>
              <w:t xml:space="preserve">12.5</w:t>
            </w:r>
          </w:p>
          <w:p>
            <w:pPr>
              <w:spacing w:after="80" w:before="0"/>
              <w:jc w:val="center"/>
            </w:pPr>
            <w:r>
              <w:rPr>
                <w:rFonts w:ascii="Arial" w:cs="Arial" w:eastAsia="Arial" w:hAnsi="Arial"/>
                <w:b/>
                <w:bCs/>
                <w:i w:val="false"/>
                <w:iCs w:val="false"/>
                <w:color w:val="757575"/>
                <w:sz w:val="13"/>
                <w:szCs w:val="13"/>
              </w:rPr>
              <w:t xml:space="preserve">Wahrscheinlichkeit: 40%</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Rigetti liefert graduelle Fortschritte, aber keine Breakthrough-Monetarisierung; der Markt akzeptiert die Aktie weiterhin als hochvolatiles Optionality-Asset mit moderater multiple compression.</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Umsatz steigt nur leicht, cash burn bleibt hoch, und es kommen keine neuen belastbaren strategischen Meilensteine oder Guidance-Verbesserungen.</w:t>
            </w:r>
          </w:p>
        </w:tc>
        <w:tc>
          <w:tcPr>
            <w:tcW w:type="dxa" w:w="3592"/>
            <w:tcBorders>
              <w:top w:val="single" w:color="43A047" w:sz="8"/>
              <w:left w:val="single" w:color="43A047" w:sz="8"/>
              <w:bottom w:val="single" w:color="43A047" w:sz="2"/>
              <w:right w:val="single" w:color="43A047" w:sz="2"/>
            </w:tcBorders>
            <w:shd w:fill="E8F5E9" w:val="clear"/>
            <w:tcMar>
              <w:top w:type="dxa" w:w="100"/>
              <w:left w:type="dxa" w:w="120"/>
              <w:bottom w:type="dxa" w:w="100"/>
              <w:right w:type="dxa" w:w="120"/>
            </w:tcMar>
          </w:tcPr>
          <w:p>
            <w:pPr>
              <w:spacing w:after="60" w:before="0"/>
              <w:jc w:val="left"/>
            </w:pPr>
            <w:r>
              <w:rPr>
                <w:rFonts w:ascii="Arial" w:cs="Arial" w:eastAsia="Arial" w:hAnsi="Arial"/>
                <w:b/>
                <w:bCs/>
                <w:i w:val="false"/>
                <w:iCs w:val="false"/>
                <w:color w:val="1F3864"/>
                <w:sz w:val="16"/>
                <w:szCs w:val="16"/>
              </w:rPr>
              <w:t xml:space="preserve">🐂  Bull Case</w:t>
            </w:r>
          </w:p>
          <w:p>
            <w:pPr>
              <w:spacing w:after="40" w:before="0"/>
              <w:jc w:val="center"/>
            </w:pPr>
            <w:r>
              <w:rPr>
                <w:rFonts w:ascii="Arial" w:cs="Arial" w:eastAsia="Arial" w:hAnsi="Arial"/>
                <w:b/>
                <w:bCs/>
                <w:i w:val="false"/>
                <w:iCs w:val="false"/>
                <w:color w:val="2E7D32"/>
                <w:sz w:val="24"/>
                <w:szCs w:val="24"/>
              </w:rPr>
              <w:t xml:space="preserve">32</w:t>
            </w:r>
          </w:p>
          <w:p>
            <w:pPr>
              <w:spacing w:after="80" w:before="0"/>
              <w:jc w:val="center"/>
            </w:pPr>
            <w:r>
              <w:rPr>
                <w:rFonts w:ascii="Arial" w:cs="Arial" w:eastAsia="Arial" w:hAnsi="Arial"/>
                <w:b/>
                <w:bCs/>
                <w:i w:val="false"/>
                <w:iCs w:val="false"/>
                <w:color w:val="757575"/>
                <w:sz w:val="13"/>
                <w:szCs w:val="13"/>
              </w:rPr>
              <w:t xml:space="preserve">Wahrscheinlichkeit: 15%</w:t>
            </w:r>
          </w:p>
          <w:p>
            <w:pPr>
              <w:spacing w:after="40" w:before="0"/>
              <w:jc w:val="left"/>
            </w:pPr>
            <w:r>
              <w:rPr>
                <w:rFonts w:ascii="Arial" w:cs="Arial" w:eastAsia="Arial" w:hAnsi="Arial"/>
                <w:b/>
                <w:bCs/>
                <w:i w:val="false"/>
                <w:iCs w:val="false"/>
                <w:color w:val="1F3864"/>
                <w:sz w:val="12"/>
                <w:szCs w:val="12"/>
              </w:rPr>
              <w:t xml:space="preserve">Kernannahme: </w:t>
            </w:r>
            <w:r>
              <w:rPr>
                <w:rFonts w:ascii="Arial" w:cs="Arial" w:eastAsia="Arial" w:hAnsi="Arial"/>
                <w:b w:val="false"/>
                <w:bCs w:val="false"/>
                <w:i w:val="false"/>
                <w:iCs w:val="false"/>
                <w:color w:val="000000"/>
                <w:sz w:val="12"/>
                <w:szCs w:val="12"/>
              </w:rPr>
              <w:t xml:space="preserve">Ein klarer kommerzieller oder staatlicher Meilenstein validiert die Roadmap, Umsatzwachstum beschleunigt deutlich und die Kapitalmärkte bleiben offen, sodass die Aktie als Quantum-Pure-Play höher bewertet wird.</w:t>
            </w:r>
          </w:p>
          <w:p>
            <w:pPr>
              <w:spacing w:after="0" w:before="0"/>
              <w:jc w:val="left"/>
            </w:pPr>
            <w:r>
              <w:rPr>
                <w:rFonts w:ascii="Arial" w:cs="Arial" w:eastAsia="Arial" w:hAnsi="Arial"/>
                <w:b/>
                <w:bCs/>
                <w:i w:val="false"/>
                <w:iCs w:val="false"/>
                <w:color w:val="1F3864"/>
                <w:sz w:val="12"/>
                <w:szCs w:val="12"/>
              </w:rPr>
              <w:t xml:space="preserve">Auslöser: </w:t>
            </w:r>
            <w:r>
              <w:rPr>
                <w:rFonts w:ascii="Arial" w:cs="Arial" w:eastAsia="Arial" w:hAnsi="Arial"/>
                <w:b w:val="false"/>
                <w:bCs w:val="false"/>
                <w:i w:val="false"/>
                <w:iCs w:val="false"/>
                <w:color w:val="000000"/>
                <w:sz w:val="12"/>
                <w:szCs w:val="12"/>
              </w:rPr>
              <w:t xml:space="preserve">Mindestens ein materialer Deal/Benchmark-Durchbruch, der die Revenue-Run-Rate sichtbar anhebt, plus Guidance, die einen Pfad zu deutlich höherer Gross Margin und sinkendem FCF-Burn belegt.</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7.  Quantifizierte Risiken &amp; Conviction Killers</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5386"/>
        <w:gridCol w:w="5386"/>
      </w:tblGrid>
      <w:tr>
        <w:tc>
          <w:tcPr>
            <w:tcW w:type="dxa" w:w="538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60" w:before="0"/>
              <w:jc w:val="left"/>
            </w:pPr>
            <w:r>
              <w:rPr>
                <w:rFonts w:ascii="Arial" w:cs="Arial" w:eastAsia="Arial" w:hAnsi="Arial"/>
                <w:b/>
                <w:bCs/>
                <w:i w:val="false"/>
                <w:iCs w:val="false"/>
                <w:color w:val="1F3864"/>
                <w:sz w:val="15"/>
                <w:szCs w:val="15"/>
              </w:rPr>
              <w:t xml:space="preserve">Quantifizierte Risiken</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Extreme Bewertung (EV/Sales 655x, P/B 11.9x) macht die Aktie extrem anfällig für Multiple-Kompression bei kleinen Enttäuschungen bei Umsatz, Kapitalbedarf oder Technologie-Meilensteinen.</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Hohe Zinsen (US 10Y 4.487%, US 2Y 4.213%) erhöhen den Diskontsatz für zukünftige Cashflows und die Finanzierungskosten; das belastet unprofitable Growth-Assets überproportional und erhöht das Verwässerungsrisiko bei weiteren Kapitalerhöhungen.</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Technologie- und Kommerzialisierungsrisiko bleibt sehr hoch: Der Umsatz ist von 12 Mio. USD (2023A) auf 7.1 Mio. USD (2025A) gefallen, die Bruttomarge von 77.9% auf 29.6% kollabiert, und es gibt keinen historischen Nachweis, dass die projektierten Wachstumsraten (2026E +30%, 2027E +40%, 2028E +35%) realistisch sind.</w:t>
            </w:r>
          </w:p>
          <w:p>
            <w:pPr>
              <w:pStyle w:val="ListParagraph"/>
              <w:numPr>
                <w:ilvl w:val="0"/>
                <w:numId w:val="2"/>
              </w:numPr>
              <w:spacing w:after="30" w:before="30"/>
            </w:pPr>
            <w:r>
              <w:rPr>
                <w:rFonts w:ascii="Arial" w:cs="Arial" w:eastAsia="Arial" w:hAnsi="Arial"/>
                <w:b w:val="false"/>
                <w:bCs w:val="false"/>
                <w:i w:val="false"/>
                <w:iCs w:val="false"/>
                <w:color w:val="000000"/>
                <w:sz w:val="15"/>
                <w:szCs w:val="15"/>
              </w:rPr>
              <w:t xml:space="preserve">Starke Abhängigkeit von US-Regierungs-, Verteidigungs- und nationalen Laborbudgets: Ein einziger Förder- oder Beschaffungsstopp kann die frühe Umsatzkurve stark belasten und den Break-even-Pfad um Jahre verschieben.</w:t>
            </w:r>
          </w:p>
        </w:tc>
        <w:tc>
          <w:tcPr>
            <w:tcW w:type="dxa" w:w="5386"/>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0"/>
              <w:jc w:val="left"/>
            </w:pPr>
            <w:r>
              <w:rPr>
                <w:rFonts w:ascii="Arial" w:cs="Arial" w:eastAsia="Arial" w:hAnsi="Arial"/>
                <w:b/>
                <w:bCs/>
                <w:i w:val="false"/>
                <w:iCs w:val="false"/>
                <w:color w:val="C62828"/>
                <w:sz w:val="15"/>
                <w:szCs w:val="15"/>
              </w:rPr>
              <w:t xml:space="preserve">🚨  Conviction Killers</w:t>
            </w:r>
          </w:p>
          <w:p>
            <w:pPr>
              <w:spacing w:after="60" w:before="0"/>
              <w:jc w:val="left"/>
            </w:pPr>
            <w:r>
              <w:rPr>
                <w:rFonts w:ascii="Arial" w:cs="Arial" w:eastAsia="Arial" w:hAnsi="Arial"/>
                <w:b w:val="false"/>
                <w:bCs w:val="false"/>
                <w:i/>
                <w:iCs/>
                <w:color w:val="757575"/>
                <w:sz w:val="12"/>
                <w:szCs w:val="12"/>
              </w:rPr>
              <w:t xml:space="preserve">Datenpunkte die den Investment Case sofort entkräften:</w:t>
            </w:r>
          </w:p>
          <w:p>
            <w:pPr>
              <w:pStyle w:val="ListParagraph"/>
              <w:numPr>
                <w:ilvl w:val="0"/>
                <w:numId w:val="2"/>
              </w:numPr>
              <w:spacing w:after="30" w:before="30"/>
            </w:pPr>
            <w:r>
              <w:rPr>
                <w:rFonts w:ascii="Arial" w:cs="Arial" w:eastAsia="Arial" w:hAnsi="Arial"/>
                <w:b/>
                <w:bCs/>
                <w:i w:val="false"/>
                <w:iCs w:val="false"/>
                <w:color w:val="C62828"/>
                <w:sz w:val="15"/>
                <w:szCs w:val="15"/>
              </w:rPr>
              <w:t xml:space="preserve">⚠  Wenn der nächste Quartalsbericht keine Beschleunigung der Umsatz-Run-Rate zeigt und der annualisierte Free-Cashflow-Burn schlechter als -80 Mio. USD bleibt, kollabiert die These eines rechtzeitigen Kommerzialisierungspfads.</w:t>
            </w:r>
            <w:r>
              <w:rPr>
                <w:rFonts w:ascii="Arial" w:cs="Arial" w:eastAsia="Arial" w:hAnsi="Arial"/>
                <w:b w:val="false"/>
                <w:bCs w:val="false"/>
                <w:i/>
                <w:iCs/>
                <w:color w:val="757575"/>
                <w:sz w:val="12"/>
                <w:szCs w:val="12"/>
              </w:rPr>
              <w:t xml:space="preserve">  → Monitor: Watch quarterly revenue run-rate and annualized FCF burn; if revenue stays below 10 Mio. USD quarterly-equivalent and FCF burn remains &lt; -80 Mio. USD annualized, invalidate the Bull/Overweight view.</w:t>
            </w:r>
          </w:p>
          <w:p>
            <w:pPr>
              <w:pStyle w:val="ListParagraph"/>
              <w:numPr>
                <w:ilvl w:val="0"/>
                <w:numId w:val="2"/>
              </w:numPr>
              <w:spacing w:after="30" w:before="30"/>
            </w:pPr>
            <w:r>
              <w:rPr>
                <w:rFonts w:ascii="Arial" w:cs="Arial" w:eastAsia="Arial" w:hAnsi="Arial"/>
                <w:b/>
                <w:bCs/>
                <w:i w:val="false"/>
                <w:iCs w:val="false"/>
                <w:color w:val="C62828"/>
                <w:sz w:val="15"/>
                <w:szCs w:val="15"/>
              </w:rPr>
              <w:t xml:space="preserve">⚠  Wenn eine Kapitalerhöhung oder Verwässerung zu einem zweistelligen prozentualen Anstieg der ausstehenden Aktien führt, ohne dass parallel ein materialer Technologie- oder Vertragsmeilenstein kommt, ist die Equity-Story nicht mehr investierbar.</w:t>
            </w:r>
            <w:r>
              <w:rPr>
                <w:rFonts w:ascii="Arial" w:cs="Arial" w:eastAsia="Arial" w:hAnsi="Arial"/>
                <w:b w:val="false"/>
                <w:bCs w:val="false"/>
                <w:i/>
                <w:iCs/>
                <w:color w:val="757575"/>
                <w:sz w:val="12"/>
                <w:szCs w:val="12"/>
              </w:rPr>
              <w:t xml:space="preserve">  → Monitor: Monitor diluted shares outstanding; if fully diluted shares rise by &gt;10% before next major commercial milestone, the original recommendation is invalidated.</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8.  Makro-Ampel &amp; Sentiment</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7972"/>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Beobachtungsbereich</w:t>
            </w:r>
          </w:p>
        </w:tc>
        <w:tc>
          <w:tcPr>
            <w:tcW w:type="dxa" w:w="1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Signal</w:t>
            </w:r>
          </w:p>
        </w:tc>
        <w:tc>
          <w:tcPr>
            <w:tcW w:type="dxa" w:w="7972"/>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Einschätzung &amp; Transmissionsmechanismus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Makro</w:t>
            </w:r>
          </w:p>
        </w:tc>
        <w:tc>
          <w:tcPr>
            <w:tcW w:type="dxa" w:w="1200"/>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negativ</w:t>
            </w:r>
          </w:p>
        </w:tc>
        <w:tc>
          <w:tcPr>
            <w:tcW w:type="dxa" w:w="797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Hohe US-Renditen (10Y 4.487%, 2Y 4.213%) erhöhen Diskontsatz und Finanzierungskosten für unprofitable Growth-Assets; insgesamt klarer Bewertungs-Gegenwind.</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Branche</w:t>
            </w:r>
          </w:p>
        </w:tc>
        <w:tc>
          <w:tcPr>
            <w:tcW w:type="dxa" w:w="12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B8860B"/>
                <w:sz w:val="13"/>
                <w:szCs w:val="13"/>
              </w:rPr>
              <w:t xml:space="preserve">neutral</w:t>
            </w:r>
          </w:p>
        </w:tc>
        <w:tc>
          <w:tcPr>
            <w:tcW w:type="dxa" w:w="79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AI-Capex und Server-Nachfrage stützen thematisches Interesse an Compute-Infrastruktur, aber Quantum ist kein direkter Profiteur klassischer Server-Capex; Risikoprämien für unprofitable Tech bleiben hoch.</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Unternehmen</w:t>
            </w:r>
          </w:p>
        </w:tc>
        <w:tc>
          <w:tcPr>
            <w:tcW w:type="dxa" w:w="1200"/>
            <w:gridSpan w:val="1"/>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C62828"/>
                <w:sz w:val="13"/>
                <w:szCs w:val="13"/>
              </w:rPr>
              <w:t xml:space="preserve">negativ</w:t>
            </w:r>
          </w:p>
        </w:tc>
        <w:tc>
          <w:tcPr>
            <w:tcW w:type="dxa" w:w="7972"/>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Umsatz gefallen (2023A: 12 Mio. → 2025A: 7.1 Mio.), Bruttomarge kollabiert (77.9% → 29.6%), FCF-Burn hoch (-77.2 Mio. USD), keine verifizierten strategischen Meilensteine in den letzten 12 Monaten.</w:t>
            </w:r>
          </w:p>
        </w:tc>
      </w:tr>
      <w:tr>
        <w:tc>
          <w:tcPr>
            <w:tcW w:type="dxa" w:w="1600"/>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bCs/>
                <w:i w:val="false"/>
                <w:iCs w:val="false"/>
                <w:color w:val="000000"/>
                <w:sz w:val="13"/>
                <w:szCs w:val="13"/>
              </w:rPr>
              <w:t xml:space="preserve">Konkurrenz</w:t>
            </w:r>
          </w:p>
        </w:tc>
        <w:tc>
          <w:tcPr>
            <w:tcW w:type="dxa" w:w="12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B8860B"/>
                <w:sz w:val="13"/>
                <w:szCs w:val="13"/>
              </w:rPr>
              <w:t xml:space="preserve">neutral</w:t>
            </w:r>
          </w:p>
        </w:tc>
        <w:tc>
          <w:tcPr>
            <w:tcW w:type="dxa" w:w="79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3"/>
                <w:szCs w:val="13"/>
              </w:rPr>
              <w:t xml:space="preserve">Peer-Vergleich zeigt, dass RGTI zwar teurer ist als IonQ (EV/Sales 104.8x), aber im Bereich von QBTS (651.2x) und ARQQ (183.1x) liegt; der Sektor ist insgesamt extrem hoch bewertet und spekulativ.</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9.  Finale Begründung</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gridSpan w:val="1"/>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val="false"/>
                <w:iCs w:val="false"/>
                <w:color w:val="000000"/>
                <w:sz w:val="15"/>
                <w:szCs w:val="15"/>
              </w:rPr>
              <w:t xml:space="preserve">Fundamental: Rigetti ist ein Pre-Revenue-Optionality-Play mit extremer Bewertung (EV/Sales 655x, 113% über Sektor-Durchschnitt), das auf zukünftige Kommerzialisierung setzt, während der aktuelle Umsatz von 12 Mio. USD (2023A) auf 7.1 Mio. USD (2025A) gefallen ist und die Bruttomarge von 77.9% auf 29.6% kollabiert ist. Die Forward-Wachstumsprognose (2026E +30%, 2027E +40%, 2028E +35%) ist ambitioniert und nicht historisch belegt; EBITDA-Margen bleiben tief negativ (-1800% bis -900% in FY26-28E), was bedeutet, dass Profitabilität erst in ferner Zukunft erreicht wird. Der Fair Value von 16.0 USD (adjustiert für Wachstumsprognosen) liegt bereits 24% unter dem aktuellen Kurs, aber selbst dieser Wert ist fragwürdig, weil Makro-Risiken (hohe Zinsen) nicht vollständig im DCF-Diskontsatz eingepreist sind. Der Peer-Vergleich zeigt, dass RGTI zwar teurer ist als IonQ (104.8x EV/Sales), aber im Bereich von D-Wave (651.2x) liegt — der gesamte Sektor ist extrem hoch bewertet, und RGTI ist am oberen Ende dieser Spanne. Die komfortable Cash-Position (418 Mio. USD) gibt Runway, aber bei einem FCF-Burn von -77 Mio. USD reicht das nur ca. 5 Jahre ohne weitere Verwässerung. Makro: Das Zinsumfeld ist klar negativ für unprofitable Growth-Assets — US 10Y bei 4.487%, US 2Y bei 4.213% und US 3M TBill bei 3.618% erhöhen den Diskontsatz für zukünftige Cashflows und die Finanzierungskosten erheblich. Der News-Agent nennt dies explizit als headwind, aber die Fundamentalanalyse hat diese höheren Renditen nicht in einem angepassten DCF-Diskontsatz oder in Verwässerungsannahmen reflektiert — das ist eine methodische Schwäche. Zusätzlich fehlen verifizierte strategische Meilensteine in den letzten 12 Monaten, was die Unsicherheit über den Kommerzialisierungspfad erhöht. Die Branche zeigt gemischte Signale: AI-Capex und Server-Nachfrage stützen thematisches Interesse an Compute-Infrastruktur, aber Quantum ist kein direkter Profiteur klassischer Server-Capex, und die Risikoprämien für unprofitable Tech bleiben hoch. Risk: Der Risk-Agent kritisiert zu Recht, dass die Wachstumsannahmen optimistisch sind, die Abhängigkeit von US-Regierungs- und Verteidigungsbudgets ein materielles Projektrisiko darstellt und die hohen Zinsen nicht vollständig eingepreist sind. Zwei Conviction Killers sind aktiv: (1) wenn der nächste Quartalsbericht keine Umsatzbeschleunigung zeigt und FCF-Burn schlechter als -80 Mio. USD bleibt, und (2) wenn eine Verwässerung um &gt;10% ohne Meilenstein kommt. Das Sentiment ist mit 3/10 sehr schwach, was die fundamentale Schwäche bestätigt. Thematic: Rigetti profitiert langfristig von der Quantum-Computing-Transition, aber der adressierbare Markt ist heute noch klein, stark projektgetrieben und technologisch unsicher. Die thematische Einschätzung ist 'gegenwind', weil die hohe Kapitalmarktrisikoprämie die Umwandlung von Potenzial in tatsächliches Umsatzwachstum behindert. Gewichtetes Fazit: Die effektiven Gewichte für diese Analyse sind Fundamental 26.4%, News/Sentiment 22.7%, Risk 27.9%, Thematic 23.0%. Der Score wurde wie folgt berechnet: Upside_Pct = (12.73 - 20.98) / 20.98 × 100 = -39.32%. Sentiment_Component = (3/10 × 100 - 50) = -20. Risk_Component = 2 Conviction Killers aktiv + Makro headwind + Industry headwind = -15 - 5 - 5 = -25. Thematic_Component = gegenwind = -10. Score = (-39.32 × 0.264) + (-20 × 0.227) + (-25 × 0.279) + (-10 × 0.230) = -10.38 - 4.54 - 6.98 - 2.30 = -24.20. Ein Score &lt; -12 führt zur Empfehlung VERKAUFEN. Das Price Target von 12.73 USD stammt aus dem Szenario-Erwartungswert (Bear 45% × 6.5 + Base 40% × 12.5 + Bull 15% × 32.0 = 12.73 USD) und liegt 39% unter dem aktuellen Kurs. Der DCF-Fair-Value wurde verworfen, weil DCF bei einem Pre-Revenue-Optionality-Play nicht anwendbar ist (dcf_applicable=False). Die Peer-Bewertung widerspricht der Empfehlung nicht: RGTI ist am oberen Ende eines bereits extrem hoch bewerteten Sektors, und selbst Peers wie IonQ mit 104.8x EV/Sales sind teuer — eine Konvergenz zu peer-niveau würde massive Kursrückgänge bedeuten. Die Conviction ist mittel, weil die firmenspezifische Datenlage stark genug ist, um die Bewertung und den Cash-Burn zu kritisieren, aber die News- und Meilenstein-Daten lückenhaft sind und die Wachstumsprognosen mit hoher Unsicherheit behaftet sind.</w:t>
            </w:r>
          </w:p>
        </w:tc>
      </w:tr>
    </w:tbl>
    <w:p>
      <w:pPr>
        <w:pBdr>
          <w:bottom w:val="single" w:color="C9A84C" w:sz="6" w:space="2"/>
        </w:pBdr>
        <w:spacing w:after="80" w:before="180"/>
      </w:pPr>
      <w:r>
        <w:rPr>
          <w:rFonts w:ascii="Arial" w:cs="Arial" w:eastAsia="Arial" w:hAnsi="Arial"/>
          <w:b/>
          <w:bCs/>
          <w:i w:val="false"/>
          <w:iCs w:val="false"/>
          <w:color w:val="1F3864"/>
          <w:sz w:val="19"/>
          <w:szCs w:val="19"/>
        </w:rPr>
        <w:t xml:space="preserve">10.  Quellen &amp; Literaturverzeichnis</w:t>
      </w:r>
    </w:p>
    <w:p>
      <w:pPr>
        <w:spacing w:after="20" w:before="20"/>
        <w:jc w:val="left"/>
      </w:pPr>
      <w:r>
        <w:rPr>
          <w:rFonts w:ascii="Arial" w:cs="Arial" w:eastAsia="Arial" w:hAnsi="Arial"/>
          <w:b w:val="false"/>
          <w:bCs w:val="false"/>
          <w:i w:val="false"/>
          <w:iCs w:val="false"/>
          <w:color w:val="757575"/>
          <w:sz w:val="13"/>
          <w:szCs w:val="13"/>
        </w:rPr>
        <w:t xml:space="preserve">[1]  yfinance (Marktdaten, Finanzkennzahlen, Peer-Vergleich)</w:t>
      </w:r>
    </w:p>
    <w:p>
      <w:pPr>
        <w:spacing w:after="20" w:before="20"/>
        <w:jc w:val="left"/>
      </w:pPr>
      <w:r>
        <w:rPr>
          <w:rFonts w:ascii="Arial" w:cs="Arial" w:eastAsia="Arial" w:hAnsi="Arial"/>
          <w:b w:val="false"/>
          <w:bCs w:val="false"/>
          <w:i w:val="false"/>
          <w:iCs w:val="false"/>
          <w:color w:val="757575"/>
          <w:sz w:val="13"/>
          <w:szCs w:val="13"/>
        </w:rPr>
        <w:t xml:space="preserve">[2]  SEC 8-K (IR-Dokumente, governance information)</w:t>
      </w:r>
    </w:p>
    <w:p>
      <w:pPr>
        <w:spacing w:after="20" w:before="20"/>
        <w:jc w:val="left"/>
      </w:pPr>
      <w:r>
        <w:rPr>
          <w:rFonts w:ascii="Arial" w:cs="Arial" w:eastAsia="Arial" w:hAnsi="Arial"/>
          <w:b w:val="false"/>
          <w:bCs w:val="false"/>
          <w:i w:val="false"/>
          <w:iCs w:val="false"/>
          <w:color w:val="757575"/>
          <w:sz w:val="13"/>
          <w:szCs w:val="13"/>
        </w:rPr>
        <w:t xml:space="preserve">[3]  Finnhub (historische Multiples)</w:t>
      </w:r>
    </w:p>
    <w:p>
      <w:pPr>
        <w:spacing w:after="20" w:before="20"/>
        <w:jc w:val="left"/>
      </w:pPr>
      <w:r>
        <w:rPr>
          <w:rFonts w:ascii="Arial" w:cs="Arial" w:eastAsia="Arial" w:hAnsi="Arial"/>
          <w:b w:val="false"/>
          <w:bCs w:val="false"/>
          <w:i w:val="false"/>
          <w:iCs w:val="false"/>
          <w:color w:val="757575"/>
          <w:sz w:val="13"/>
          <w:szCs w:val="13"/>
        </w:rPr>
        <w:t xml:space="preserve">[4]  LLM-Ableitung (Forward-Estimates-Wachstumsprognose)</w:t>
      </w:r>
    </w:p>
    <w:p>
      <w:pPr>
        <w:spacing w:after="20" w:before="20"/>
        <w:jc w:val="left"/>
      </w:pPr>
      <w:r>
        <w:rPr>
          <w:rFonts w:ascii="Arial" w:cs="Arial" w:eastAsia="Arial" w:hAnsi="Arial"/>
          <w:b w:val="false"/>
          <w:bCs w:val="false"/>
          <w:i w:val="false"/>
          <w:iCs w:val="false"/>
          <w:color w:val="757575"/>
          <w:sz w:val="13"/>
          <w:szCs w:val="13"/>
        </w:rPr>
        <w:t xml:space="preserve">[5]  News-Agent (Makro-Indikatoren, Sentiment)</w:t>
      </w:r>
    </w:p>
    <w:p>
      <w:pPr>
        <w:spacing w:after="20" w:before="20"/>
        <w:jc w:val="left"/>
      </w:pPr>
      <w:r>
        <w:rPr>
          <w:rFonts w:ascii="Arial" w:cs="Arial" w:eastAsia="Arial" w:hAnsi="Arial"/>
          <w:b w:val="false"/>
          <w:bCs w:val="false"/>
          <w:i w:val="false"/>
          <w:iCs w:val="false"/>
          <w:color w:val="757575"/>
          <w:sz w:val="13"/>
          <w:szCs w:val="13"/>
        </w:rPr>
        <w:t xml:space="preserve">[6]  Risk-Agent (Szenarien, Conviction Killers)</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gridSpan w:val="1"/>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0" w:before="0"/>
              <w:jc w:val="left"/>
            </w:pPr>
            <w:r>
              <w:rPr>
                <w:rFonts w:ascii="Arial" w:cs="Arial" w:eastAsia="Arial" w:hAnsi="Arial"/>
                <w:b w:val="false"/>
                <w:bCs w:val="false"/>
                <w:i/>
                <w:iCs/>
                <w:color w:val="757575"/>
                <w:sz w:val="12"/>
                <w:szCs w:val="12"/>
              </w:rPr>
              <w:t xml:space="preserve">DISCLAIMER: Dieses Dokument wurde automatisch durch den KI-Co-Analysten generiert (Bachelor Thesis BFH 2025/26, Luca Lüdi) und dient ausschliesslich zu Forschungs- und Demonstrationszwecken. Es stellt keine Anlageberatung dar (Art. 3 lit. c FIDLEG). Forward-Schätzungen sind Approximationen — kein Ersatz für Bloomberg/FactSet.</w:t>
            </w:r>
          </w:p>
        </w:tc>
      </w:tr>
    </w:tbl>
    <w:sectPr>
      <w:headerReference w:type="default" r:id="rId7"/>
      <w:footerReference w:type="default" r:id="rId8"/>
      <w:pgSz w:w="11906" w:h="16838" w:orient="portrait"/>
      <w:pgMar w:top="284" w:right="567" w:bottom="284" w:left="567"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spacing w:after="0" w:before="60"/>
    </w:pPr>
    <w:r>
      <w:rPr>
        <w:rFonts w:ascii="Arial" w:cs="Arial" w:eastAsia="Arial" w:hAnsi="Arial"/>
        <w:b/>
        <w:bCs/>
        <w:i w:val="false"/>
        <w:iCs w:val="false"/>
        <w:color w:val="C62828"/>
        <w:sz w:val="12"/>
        <w:szCs w:val="12"/>
      </w:rPr>
      <w:t xml:space="preserve">VERKAUFEN  |  Kursziel USD 12.73  |  Upside -39.32%</w:t>
    </w:r>
    <w:r>
      <w:rPr>
        <w:rFonts w:ascii="Arial" w:cs="Arial" w:eastAsia="Arial" w:hAnsi="Arial"/>
        <w:b w:val="false"/>
        <w:bCs w:val="false"/>
        <w:i w:val="false"/>
        <w:iCs w:val="false"/>
        <w:color w:val="757575"/>
        <w:sz w:val="12"/>
        <w:szCs w:val="12"/>
      </w:rPr>
      <w:t xml:space="preserve">        Seite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b w:val="false"/>
        <w:bCs w:val="false"/>
        <w:i w:val="false"/>
        <w:iCs w:val="false"/>
        <w:color w:val="757575"/>
        <w:sz w:val="12"/>
        <w:szCs w:val="12"/>
      </w:rPr>
      <w:t xml:space="preserve"> / </w:t>
    </w:r>
    <w:r>
      <w:rPr>
        <w:rFonts w:ascii="Arial" w:cs="Arial" w:eastAsia="Arial" w:hAnsi="Arial"/>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60" w:before="0"/>
    </w:pPr>
    <w:r>
      <w:rPr>
        <w:rFonts w:ascii="Arial" w:cs="Arial" w:eastAsia="Arial" w:hAnsi="Arial"/>
        <w:b/>
        <w:bCs/>
        <w:i w:val="false"/>
        <w:iCs w:val="false"/>
        <w:color w:val="1F3864"/>
        <w:sz w:val="13"/>
        <w:szCs w:val="13"/>
      </w:rPr>
      <w:t xml:space="preserve">Rigetti Computing, Inc.  (RGTI)</w:t>
    </w:r>
    <w:r>
      <w:rPr>
        <w:rFonts w:ascii="Arial" w:cs="Arial" w:eastAsia="Arial" w:hAnsi="Arial"/>
        <w:b w:val="false"/>
        <w:bCs w:val="false"/>
        <w:i w:val="false"/>
        <w:iCs w:val="false"/>
        <w:color w:val="757575"/>
        <w:sz w:val="12"/>
        <w:szCs w:val="12"/>
      </w:rPr>
      <w:t xml:space="preserve">    KI-Co-Analyst  ·  BFH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2026-06-14T18:44:26.651Z</dcterms:created>
  <dcterms:modified xsi:type="dcterms:W3CDTF">2026-06-14T18:44:26.669Z</dcterms:modified>
</cp:coreProperties>
</file>

<file path=docProps/custom.xml><?xml version="1.0" encoding="utf-8"?>
<Properties xmlns="http://schemas.openxmlformats.org/officeDocument/2006/custom-properties" xmlns:vt="http://schemas.openxmlformats.org/officeDocument/2006/docPropsVTypes"/>
</file>