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3864"/>
          <w:sz w:val="52"/>
          <w:szCs w:val="52"/>
        </w:rPr>
        <w:t xml:space="preserve">Rieter Holding AG</w:t>
      </w:r>
    </w:p>
    <w:p>
      <w:pPr>
        <w:spacing w:after="60" w:before="0"/>
      </w:pPr>
      <w:r>
        <w:rPr>
          <w:rFonts w:ascii="Arial" w:cs="Arial" w:eastAsia="Arial" w:hAnsi="Arial"/>
          <w:color w:val="404040"/>
          <w:sz w:val="20"/>
          <w:szCs w:val="20"/>
        </w:rPr>
        <w:t xml:space="preserve">RIEN.SW  |  Industrials  |  Datum: 2026-05-03</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20"/>
        <w:gridCol w:w="1620"/>
        <w:gridCol w:w="1620"/>
        <w:gridCol w:w="1620"/>
        <w:gridCol w:w="1440"/>
      </w:tblGrid>
      <w:tr>
        <w:tc>
          <w:tcPr>
            <w:tcW w:type="dxa" w:w="14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EMPFEHLUNG</w:t>
            </w:r>
          </w:p>
        </w:tc>
        <w:tc>
          <w:tcPr>
            <w:tcW w:type="dxa" w:w="16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CONVICTION</w:t>
            </w:r>
          </w:p>
        </w:tc>
        <w:tc>
          <w:tcPr>
            <w:tcW w:type="dxa" w:w="16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PRICE TARGET</w:t>
            </w:r>
          </w:p>
        </w:tc>
        <w:tc>
          <w:tcPr>
            <w:tcW w:type="dxa" w:w="16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AKT. KURS</w:t>
            </w:r>
          </w:p>
        </w:tc>
        <w:tc>
          <w:tcPr>
            <w:tcW w:type="dxa" w:w="16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UPSIDE/DOWN.</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WÄHRUNG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HALTEN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F3864"/>
                <w:sz w:val="18"/>
                <w:szCs w:val="18"/>
              </w:rPr>
              <w:t xml:space="preserve">★☆☆ NIEDRIG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F3864"/>
                <w:sz w:val="18"/>
                <w:szCs w:val="18"/>
              </w:rPr>
              <w:t xml:space="preserve">CHF 3.25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CHF 3.255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-0.15%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CHF</w:t>
            </w:r>
          </w:p>
        </w:tc>
      </w:tr>
    </w:tbl>
    <w:p>
      <w:pPr>
        <w:spacing w:after="0" w:before="80"/>
      </w:pPr>
    </w:p>
    <w:p>
      <w:pPr>
        <w:pBdr>
          <w:bottom w:val="single" w:color="2E75B6" w:sz="8" w:space="1"/>
        </w:pBdr>
        <w:spacing w:after="80" w:before="240"/>
      </w:pPr>
      <w:r>
        <w:rPr>
          <w:rFonts w:ascii="Arial" w:cs="Arial" w:eastAsia="Arial" w:hAnsi="Arial"/>
          <w:b/>
          <w:bCs/>
          <w:color w:val="2E75B6"/>
          <w:sz w:val="21"/>
          <w:szCs w:val="21"/>
        </w:rPr>
        <w:t xml:space="preserve">UNTERNEHMENSBESCHREIBUNG</w:t>
      </w:r>
    </w:p>
    <w:p>
      <w:pPr>
        <w:spacing w:after="40" w:before="40"/>
      </w:pPr>
      <w:r>
        <w:rPr>
          <w:rFonts w:ascii="Arial" w:cs="Arial" w:eastAsia="Arial" w:hAnsi="Arial"/>
          <w:i/>
          <w:iCs/>
          <w:color w:val="404040"/>
          <w:sz w:val="18"/>
          <w:szCs w:val="18"/>
        </w:rPr>
        <w:t xml:space="preserve">Rieter Holding AG ist weltweit führender Anbieter von Systemen zur Kurzstapelfaser-Garnherstellung mit drei Segmenten: Machines &amp; Systems, Components und After Sales. Das Unternehmen hat 2026 die strategische Akquisition von Barmag abgeschlossen, um seine Position im Spezialmaschinenmarkt zu stärken. Die Hauptumsatztreiber sind Investitionszyklen in der Textilindustrie, insbesondere in Asien (&gt;60% des Umsatzes).</w:t>
      </w:r>
    </w:p>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INVESTMENT CASE</w:t>
      </w:r>
    </w:p>
    <w:p>
      <w:pPr>
        <w:pStyle w:val="ListParagraph"/>
        <w:numPr>
          <w:ilvl w:val="0"/>
          <w:numId w:val="2"/>
        </w:numPr>
        <w:spacing w:after="30" w:before="30"/>
      </w:pPr>
      <w:r>
        <w:rPr>
          <w:rFonts w:ascii="Arial" w:cs="Arial" w:eastAsia="Arial" w:hAnsi="Arial"/>
          <w:b w:val="false"/>
          <w:bCs w:val="false"/>
          <w:color w:val="404040"/>
          <w:sz w:val="18"/>
          <w:szCs w:val="18"/>
        </w:rPr>
        <w:t xml:space="preserve">Forward P/E </w:t>
      </w:r>
      <w:r>
        <w:rPr>
          <w:rFonts w:ascii="Arial" w:cs="Arial" w:eastAsia="Arial" w:hAnsi="Arial"/>
          <w:b/>
          <w:bCs/>
          <w:color w:val="1F3864"/>
          <w:sz w:val="18"/>
          <w:szCs w:val="18"/>
        </w:rPr>
        <w:t xml:space="preserve">6.05x</w:t>
      </w:r>
      <w:r>
        <w:rPr>
          <w:rFonts w:ascii="Arial" w:cs="Arial" w:eastAsia="Arial" w:hAnsi="Arial"/>
          <w:b w:val="false"/>
          <w:bCs w:val="false"/>
          <w:color w:val="404040"/>
          <w:sz w:val="18"/>
          <w:szCs w:val="18"/>
        </w:rPr>
        <w:t xml:space="preserve"> vs. Industrials-Sektor Ø 15.2x (Quelle: yfinance) → 60% Discount signalisiert extreme Unterbewertung oder fundamentale Risiken</w:t>
      </w:r>
    </w:p>
    <w:p>
      <w:pPr>
        <w:pStyle w:val="ListParagraph"/>
        <w:numPr>
          <w:ilvl w:val="0"/>
          <w:numId w:val="2"/>
        </w:numPr>
        <w:spacing w:after="30" w:before="30"/>
      </w:pPr>
      <w:r>
        <w:rPr>
          <w:rFonts w:ascii="Arial" w:cs="Arial" w:eastAsia="Arial" w:hAnsi="Arial"/>
          <w:b w:val="false"/>
          <w:bCs w:val="false"/>
          <w:color w:val="404040"/>
          <w:sz w:val="18"/>
          <w:szCs w:val="18"/>
        </w:rPr>
        <w:t xml:space="preserve">EV/EBITDA </w:t>
      </w:r>
      <w:r>
        <w:rPr>
          <w:rFonts w:ascii="Arial" w:cs="Arial" w:eastAsia="Arial" w:hAnsi="Arial"/>
          <w:b/>
          <w:bCs/>
          <w:color w:val="1F3864"/>
          <w:sz w:val="18"/>
          <w:szCs w:val="18"/>
        </w:rPr>
        <w:t xml:space="preserve">8.79x</w:t>
      </w:r>
      <w:r>
        <w:rPr>
          <w:rFonts w:ascii="Arial" w:cs="Arial" w:eastAsia="Arial" w:hAnsi="Arial"/>
          <w:b w:val="false"/>
          <w:bCs w:val="false"/>
          <w:color w:val="404040"/>
          <w:sz w:val="18"/>
          <w:szCs w:val="18"/>
        </w:rPr>
        <w:t xml:space="preserve"> vs. Maschinenbau-Peers Ø 12.5x und 5-Jahres-Durchschnitt 11.2x (Quelle: yfinance) → 30% Discount rechtfertigt vorsichtiges HALTEN statt KAUFEN</w:t>
      </w:r>
    </w:p>
    <w:p>
      <w:pPr>
        <w:pStyle w:val="ListParagraph"/>
        <w:numPr>
          <w:ilvl w:val="0"/>
          <w:numId w:val="2"/>
        </w:numPr>
        <w:spacing w:after="30" w:before="30"/>
      </w:pPr>
      <w:r>
        <w:rPr>
          <w:rFonts w:ascii="Arial" w:cs="Arial" w:eastAsia="Arial" w:hAnsi="Arial"/>
          <w:b w:val="false"/>
          <w:bCs w:val="false"/>
          <w:color w:val="404040"/>
          <w:sz w:val="18"/>
          <w:szCs w:val="18"/>
        </w:rPr>
        <w:t xml:space="preserve">P/B </w:t>
      </w:r>
      <w:r>
        <w:rPr>
          <w:rFonts w:ascii="Arial" w:cs="Arial" w:eastAsia="Arial" w:hAnsi="Arial"/>
          <w:b/>
          <w:bCs/>
          <w:color w:val="1F3864"/>
          <w:sz w:val="18"/>
          <w:szCs w:val="18"/>
        </w:rPr>
        <w:t xml:space="preserve">0.57x</w:t>
      </w:r>
      <w:r>
        <w:rPr>
          <w:rFonts w:ascii="Arial" w:cs="Arial" w:eastAsia="Arial" w:hAnsi="Arial"/>
          <w:b w:val="false"/>
          <w:bCs w:val="false"/>
          <w:color w:val="404040"/>
          <w:sz w:val="18"/>
          <w:szCs w:val="18"/>
        </w:rPr>
        <w:t xml:space="preserve"> liegt deutlich unter Buchwert (Quelle: yfinance) → potenzielle Restrukturierungs- oder Liquidationsoption bei anhaltendem Gegenwind</w:t>
      </w:r>
    </w:p>
    <w:p>
      <w:pPr>
        <w:pStyle w:val="ListParagraph"/>
        <w:numPr>
          <w:ilvl w:val="0"/>
          <w:numId w:val="2"/>
        </w:numPr>
        <w:spacing w:after="30" w:before="30"/>
      </w:pPr>
      <w:r>
        <w:rPr>
          <w:rFonts w:ascii="Arial" w:cs="Arial" w:eastAsia="Arial" w:hAnsi="Arial"/>
          <w:b w:val="false"/>
          <w:bCs w:val="false"/>
          <w:color w:val="404040"/>
          <w:sz w:val="18"/>
          <w:szCs w:val="18"/>
        </w:rPr>
        <w:t xml:space="preserve">Barmag-Akquisition (abgeschlossen Feb </w:t>
      </w:r>
      <w:r>
        <w:rPr>
          <w:rFonts w:ascii="Arial" w:cs="Arial" w:eastAsia="Arial" w:hAnsi="Arial"/>
          <w:b/>
          <w:bCs/>
          <w:color w:val="1F3864"/>
          <w:sz w:val="18"/>
          <w:szCs w:val="18"/>
        </w:rPr>
        <w:t xml:space="preserve">2026</w:t>
      </w:r>
      <w:r>
        <w:rPr>
          <w:rFonts w:ascii="Arial" w:cs="Arial" w:eastAsia="Arial" w:hAnsi="Arial"/>
          <w:b w:val="false"/>
          <w:bCs w:val="false"/>
          <w:color w:val="404040"/>
          <w:sz w:val="18"/>
          <w:szCs w:val="18"/>
        </w:rPr>
        <w:t xml:space="preserve">) erweitert Produktportfolio in synthetische Filamente → Diversifikationspotenzial langfristig, aber Integrationsrisiken kurzfristig (Quelle: Rieter Investor Update 2025)</w:t>
      </w:r>
    </w:p>
    <w:p>
      <w:pPr>
        <w:pStyle w:val="ListParagraph"/>
        <w:numPr>
          <w:ilvl w:val="0"/>
          <w:numId w:val="2"/>
        </w:numPr>
        <w:spacing w:after="30" w:before="30"/>
      </w:pPr>
      <w:r>
        <w:rPr>
          <w:rFonts w:ascii="Arial" w:cs="Arial" w:eastAsia="Arial" w:hAnsi="Arial"/>
          <w:b w:val="false"/>
          <w:bCs w:val="false"/>
          <w:color w:val="404040"/>
          <w:sz w:val="18"/>
          <w:szCs w:val="18"/>
        </w:rPr>
        <w:t xml:space="preserve">KRITISCHER KATALYSATOR FEHLT: China PMI muss über </w:t>
      </w:r>
      <w:r>
        <w:rPr>
          <w:rFonts w:ascii="Arial" w:cs="Arial" w:eastAsia="Arial" w:hAnsi="Arial"/>
          <w:b/>
          <w:bCs/>
          <w:color w:val="1F3864"/>
          <w:sz w:val="18"/>
          <w:szCs w:val="18"/>
        </w:rPr>
        <w:t xml:space="preserve">52</w:t>
      </w:r>
      <w:r>
        <w:rPr>
          <w:rFonts w:ascii="Arial" w:cs="Arial" w:eastAsia="Arial" w:hAnsi="Arial"/>
          <w:b w:val="false"/>
          <w:bCs w:val="false"/>
          <w:color w:val="404040"/>
          <w:sz w:val="18"/>
          <w:szCs w:val="18"/>
        </w:rPr>
        <w:t xml:space="preserve"> Punkte stabilisieren UND US 10Y unter 4.5% fallen, damit Auftragszyklus dreht — aktuell beide Bedingungen nicht erfüllt</w:t>
      </w:r>
    </w:p>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BEWERTUNG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20"/>
        <w:gridCol w:w="1980"/>
        <w:gridCol w:w="1980"/>
        <w:gridCol w:w="1380"/>
        <w:gridCol w:w="160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Kennzahl</w:t>
            </w:r>
          </w:p>
        </w:tc>
        <w:tc>
          <w:tcPr>
            <w:tcW w:type="dxa" w:w="16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Aktuell</w:t>
            </w:r>
          </w:p>
        </w:tc>
        <w:tc>
          <w:tcPr>
            <w:tcW w:type="dxa" w:w="19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Peer Ø</w:t>
            </w:r>
          </w:p>
        </w:tc>
        <w:tc>
          <w:tcPr>
            <w:tcW w:type="dxa" w:w="19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Hist. Ø</w:t>
            </w:r>
          </w:p>
        </w:tc>
        <w:tc>
          <w:tcPr>
            <w:tcW w:type="dxa" w:w="13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Einschätz.</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Quelle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P/E (Forward)</w:t>
            </w:r>
          </w:p>
        </w:tc>
        <w:tc>
          <w:tcPr>
            <w:tcW w:type="dxa" w:w="16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6.05x</w:t>
            </w:r>
          </w:p>
        </w:tc>
        <w:tc>
          <w:tcPr>
            <w:tcW w:type="dxa" w:w="19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15.2x</w:t>
            </w:r>
          </w:p>
        </w:tc>
        <w:tc>
          <w:tcPr>
            <w:tcW w:type="dxa" w:w="19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9.8x (5J)</w:t>
            </w:r>
          </w:p>
        </w:tc>
        <w:tc>
          <w:tcPr>
            <w:tcW w:type="dxa" w:w="13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DISCOUNT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808080"/>
                <w:sz w:val="18"/>
                <w:szCs w:val="18"/>
              </w:rPr>
              <w:t xml:space="preserve">yfinance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EV/EBITDA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8.79x</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12.5x</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11.2x (5J)</w:t>
            </w:r>
          </w:p>
        </w:tc>
        <w:tc>
          <w:tcPr>
            <w:tcW w:type="dxa" w:w="1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DISCOUNT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808080"/>
                <w:sz w:val="18"/>
                <w:szCs w:val="18"/>
              </w:rPr>
              <w:t xml:space="preserve">yfinance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P/S</w:t>
            </w:r>
          </w:p>
        </w:tc>
        <w:tc>
          <w:tcPr>
            <w:tcW w:type="dxa" w:w="16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0.65x</w:t>
            </w:r>
          </w:p>
        </w:tc>
        <w:tc>
          <w:tcPr>
            <w:tcW w:type="dxa" w:w="19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1.2x</w:t>
            </w:r>
          </w:p>
        </w:tc>
        <w:tc>
          <w:tcPr>
            <w:tcW w:type="dxa" w:w="19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0.9x (5J)</w:t>
            </w:r>
          </w:p>
        </w:tc>
        <w:tc>
          <w:tcPr>
            <w:tcW w:type="dxa" w:w="13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DISCOUNT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808080"/>
                <w:sz w:val="18"/>
                <w:szCs w:val="18"/>
              </w:rPr>
              <w:t xml:space="preserve">yfinance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P/B</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0.57x</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1.8x</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1.1x (5J)</w:t>
            </w:r>
          </w:p>
        </w:tc>
        <w:tc>
          <w:tcPr>
            <w:tcW w:type="dxa" w:w="1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DISCOUNT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808080"/>
                <w:sz w:val="18"/>
                <w:szCs w:val="18"/>
              </w:rPr>
              <w:t xml:space="preserve">yfinance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EV/Sales</w:t>
            </w:r>
          </w:p>
        </w:tc>
        <w:tc>
          <w:tcPr>
            <w:tcW w:type="dxa" w:w="16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0.38x</w:t>
            </w:r>
          </w:p>
        </w:tc>
        <w:tc>
          <w:tcPr>
            <w:tcW w:type="dxa" w:w="19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0.9x</w:t>
            </w:r>
          </w:p>
        </w:tc>
        <w:tc>
          <w:tcPr>
            <w:tcW w:type="dxa" w:w="19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0.6x (5J)</w:t>
            </w:r>
          </w:p>
        </w:tc>
        <w:tc>
          <w:tcPr>
            <w:tcW w:type="dxa" w:w="13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DISCOUNT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808080"/>
                <w:sz w:val="18"/>
                <w:szCs w:val="18"/>
              </w:rPr>
              <w:t xml:space="preserve">yfinance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FCF Yield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-14.8%</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+6.5%</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+3.2% (5J)</w:t>
            </w:r>
          </w:p>
        </w:tc>
        <w:tc>
          <w:tcPr>
            <w:tcW w:type="dxa" w:w="1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ELEVATED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808080"/>
                <w:sz w:val="18"/>
                <w:szCs w:val="18"/>
              </w:rPr>
              <w:t xml:space="preserve">yfinance — IR-Verifikation dringend empfohlen</w:t>
            </w:r>
          </w:p>
        </w:tc>
      </w:tr>
    </w:tbl>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KONSENSSCHÄTZUNGEN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Kennzahl</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404040"/>
                <w:sz w:val="17"/>
                <w:szCs w:val="17"/>
              </w:rPr>
              <w:t xml:space="preserve">2024AA</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404040"/>
                <w:sz w:val="17"/>
                <w:szCs w:val="17"/>
              </w:rPr>
              <w:t xml:space="preserve">2025AA</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3864"/>
                <w:sz w:val="17"/>
                <w:szCs w:val="17"/>
              </w:rPr>
              <w:t xml:space="preserve">2026EE</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3864"/>
                <w:sz w:val="17"/>
                <w:szCs w:val="17"/>
              </w:rPr>
              <w:t xml:space="preserve">2027EE</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3864"/>
                <w:sz w:val="17"/>
                <w:szCs w:val="17"/>
              </w:rPr>
              <w:t xml:space="preserve">2028EE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bCs/>
                <w:color w:val="404040"/>
                <w:sz w:val="18"/>
                <w:szCs w:val="18"/>
              </w:rPr>
              <w:t xml:space="preserve">Umsatz (Mrd.)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0.683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0.685</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n/v — Bloomberg/FactSet empfohlen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n/v — Bloomberg/FactSet empfohlen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n/v — Bloomberg/FactSet empfohlen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EBITDA-Marge %</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 — Bloomberg/FactSet empfohlen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 — Bloomberg/FactSet empfohlen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 — Bloomberg/FactSet empfohlen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bCs/>
                <w:color w:val="404040"/>
                <w:sz w:val="18"/>
                <w:szCs w:val="18"/>
              </w:rPr>
              <w:t xml:space="preserve">EPS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-0.28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1.42</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n/v — Bloomberg/FactSet empfohlen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n/v — Bloomberg/FactSet empfohlen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n/v — Bloomberg/FactSet empfohlen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EV/EBITDA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8.79</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 — Bloomberg/FactSet empfohlen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 — Bloomberg/FactSet empfohlen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 — Bloomberg/FactSet empfohlen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KGV (P/E)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negativ</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6.05</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 — Bloomberg/FactSet empfohlen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 — Bloomberg/FactSet empfohlen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 — Bloomberg/FactSet empfohlen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 Analysten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 — Bloomberg/FactSet empfohlen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 — Bloomberg/FactSet empfohlen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n/v — Bloomberg/FactSet empfohlen</w:t>
            </w:r>
          </w:p>
        </w:tc>
      </w:tr>
    </w:tbl>
    <w:p>
      <w:pPr>
        <w:spacing w:after="0" w:before="60"/>
      </w:pPr>
    </w:p>
    <w:p>
      <w:r>
        <w:br w:type="page"/>
      </w:r>
    </w:p>
    <w:p>
      <w:pPr>
        <w:pBdr>
          <w:bottom w:val="single" w:color="2E75B6" w:sz="8" w:space="1"/>
        </w:pBdr>
        <w:spacing w:after="80" w:before="240"/>
      </w:pPr>
      <w:r>
        <w:rPr>
          <w:rFonts w:ascii="Arial" w:cs="Arial" w:eastAsia="Arial" w:hAnsi="Arial"/>
          <w:b/>
          <w:bCs/>
          <w:color w:val="2E75B6"/>
          <w:sz w:val="21"/>
          <w:szCs w:val="21"/>
        </w:rPr>
        <w:t xml:space="preserve">SZENARIEN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320"/>
        <w:gridCol w:w="2760"/>
        <w:gridCol w:w="264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Szenario</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Wahrsch.</w:t>
            </w:r>
          </w:p>
        </w:tc>
        <w:tc>
          <w:tcPr>
            <w:tcW w:type="dxa" w:w="13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Kursziel</w:t>
            </w:r>
          </w:p>
        </w:tc>
        <w:tc>
          <w:tcPr>
            <w:tcW w:type="dxa" w:w="27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Kernannahme</w:t>
            </w:r>
          </w:p>
        </w:tc>
        <w:tc>
          <w:tcPr>
            <w:tcW w:type="dxa" w:w="26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Trigger</w:t>
            </w:r>
          </w:p>
        </w:tc>
      </w:tr>
      <w:tr>
        <w:tc>
          <w:tcPr>
            <w:tcW w:type="dxa" w:w="1440"/>
            <w:tcBorders>
              <w:top w:val="single" w:color="CCCCCC" w:sz="1"/>
              <w:left w:val="single" w:color="CCCCCC" w:sz="1"/>
              <w:bottom w:val="single" w:color="CCCCCC" w:sz="1"/>
              <w:right w:val="single" w:color="CCCCCC" w:sz="1"/>
            </w:tcBorders>
            <w:shd w:fill="FFDFD6"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Bear Case</w:t>
            </w:r>
          </w:p>
        </w:tc>
        <w:tc>
          <w:tcPr>
            <w:tcW w:type="dxa" w:w="1200"/>
            <w:tcBorders>
              <w:top w:val="single" w:color="CCCCCC" w:sz="1"/>
              <w:left w:val="single" w:color="CCCCCC" w:sz="1"/>
              <w:bottom w:val="single" w:color="CCCCCC" w:sz="1"/>
              <w:right w:val="single" w:color="CCCCCC" w:sz="1"/>
            </w:tcBorders>
            <w:shd w:fill="FFDFD6"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40%</w:t>
            </w:r>
          </w:p>
        </w:tc>
        <w:tc>
          <w:tcPr>
            <w:tcW w:type="dxa" w:w="1320"/>
            <w:tcBorders>
              <w:top w:val="single" w:color="CCCCCC" w:sz="1"/>
              <w:left w:val="single" w:color="CCCCCC" w:sz="1"/>
              <w:bottom w:val="single" w:color="CCCCCC" w:sz="1"/>
              <w:right w:val="single" w:color="CCCCCC" w:sz="1"/>
            </w:tcBorders>
            <w:shd w:fill="FFDFD6"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2.5</w:t>
            </w:r>
          </w:p>
        </w:tc>
        <w:tc>
          <w:tcPr>
            <w:tcW w:type="dxa" w:w="2760"/>
            <w:tcBorders>
              <w:top w:val="single" w:color="CCCCCC" w:sz="1"/>
              <w:left w:val="single" w:color="CCCCCC" w:sz="1"/>
              <w:bottom w:val="single" w:color="CCCCCC" w:sz="1"/>
              <w:right w:val="single" w:color="CCCCCC" w:sz="1"/>
            </w:tcBorders>
            <w:shd w:fill="FFDFD6"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China PMI fällt unter 50, US 10Y steigt über 5%, Kundenaufträge -20%</w:t>
            </w:r>
          </w:p>
        </w:tc>
        <w:tc>
          <w:tcPr>
            <w:tcW w:type="dxa" w:w="2640"/>
            <w:tcBorders>
              <w:top w:val="single" w:color="CCCCCC" w:sz="1"/>
              <w:left w:val="single" w:color="CCCCCC" w:sz="1"/>
              <w:bottom w:val="single" w:color="CCCCCC" w:sz="1"/>
              <w:right w:val="single" w:color="CCCCCC" w:sz="1"/>
            </w:tcBorders>
            <w:shd w:fill="FFDFD6"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Anhaltende Marktschwäche in Asien + neue Handelssanktionen verschärfen Margendruck</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Base Case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50%</w:t>
            </w:r>
          </w:p>
        </w:tc>
        <w:tc>
          <w:tcPr>
            <w:tcW w:type="dxa" w:w="13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3.25</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Industriesektor stabilisiert, Zinsen bleiben unter 5%, moderate Preisdrücke</w:t>
            </w:r>
          </w:p>
        </w:tc>
        <w:tc>
          <w:tcPr>
            <w:tcW w:type="dxa" w:w="26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China PMI 50-52 + US 10Y Rate 4.0-4.5% → Aufträge stabil, keine signifikante Erholung</w:t>
            </w:r>
          </w:p>
        </w:tc>
      </w:tr>
      <w:tr>
        <w:tc>
          <w:tcPr>
            <w:tcW w:type="dxa" w:w="1440"/>
            <w:tcBorders>
              <w:top w:val="single" w:color="CCCCCC" w:sz="1"/>
              <w:left w:val="single" w:color="CCCCCC" w:sz="1"/>
              <w:bottom w:val="single" w:color="CCCCCC" w:sz="1"/>
              <w:right w:val="single" w:color="CCCCCC" w:sz="1"/>
            </w:tcBorders>
            <w:shd w:fill="DFF0D8"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Bull Case</w:t>
            </w:r>
          </w:p>
        </w:tc>
        <w:tc>
          <w:tcPr>
            <w:tcW w:type="dxa" w:w="1200"/>
            <w:tcBorders>
              <w:top w:val="single" w:color="CCCCCC" w:sz="1"/>
              <w:left w:val="single" w:color="CCCCCC" w:sz="1"/>
              <w:bottom w:val="single" w:color="CCCCCC" w:sz="1"/>
              <w:right w:val="single" w:color="CCCCCC" w:sz="1"/>
            </w:tcBorders>
            <w:shd w:fill="DFF0D8"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10%</w:t>
            </w:r>
          </w:p>
        </w:tc>
        <w:tc>
          <w:tcPr>
            <w:tcW w:type="dxa" w:w="1320"/>
            <w:tcBorders>
              <w:top w:val="single" w:color="CCCCCC" w:sz="1"/>
              <w:left w:val="single" w:color="CCCCCC" w:sz="1"/>
              <w:bottom w:val="single" w:color="CCCCCC" w:sz="1"/>
              <w:right w:val="single" w:color="CCCCCC" w:sz="1"/>
            </w:tcBorders>
            <w:shd w:fill="DFF0D8"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4.5</w:t>
            </w:r>
          </w:p>
        </w:tc>
        <w:tc>
          <w:tcPr>
            <w:tcW w:type="dxa" w:w="2760"/>
            <w:tcBorders>
              <w:top w:val="single" w:color="CCCCCC" w:sz="1"/>
              <w:left w:val="single" w:color="CCCCCC" w:sz="1"/>
              <w:bottom w:val="single" w:color="CCCCCC" w:sz="1"/>
              <w:right w:val="single" w:color="CCCCCC" w:sz="1"/>
            </w:tcBorders>
            <w:shd w:fill="DFF0D8"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China PMI &gt;55, signifikantes Auftragswachstum durch Investitionszyklus</w:t>
            </w:r>
          </w:p>
        </w:tc>
        <w:tc>
          <w:tcPr>
            <w:tcW w:type="dxa" w:w="2640"/>
            <w:tcBorders>
              <w:top w:val="single" w:color="CCCCCC" w:sz="1"/>
              <w:left w:val="single" w:color="CCCCCC" w:sz="1"/>
              <w:bottom w:val="single" w:color="CCCCCC" w:sz="1"/>
              <w:right w:val="single" w:color="CCCCCC" w:sz="1"/>
            </w:tcBorders>
            <w:shd w:fill="DFF0D8"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Barmag-Synergien materialisieren schneller + asiatischer Capex-Boom in Textilmaschinen</w:t>
            </w:r>
          </w:p>
        </w:tc>
      </w:tr>
    </w:tbl>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RISIKEN</w:t>
      </w:r>
    </w:p>
    <w:p>
      <w:pPr>
        <w:pStyle w:val="ListParagraph"/>
        <w:numPr>
          <w:ilvl w:val="0"/>
          <w:numId w:val="2"/>
        </w:numPr>
        <w:spacing w:after="30" w:before="30"/>
      </w:pPr>
      <w:r>
        <w:rPr>
          <w:rFonts w:ascii="Arial" w:cs="Arial" w:eastAsia="Arial" w:hAnsi="Arial"/>
          <w:b w:val="false"/>
          <w:bCs w:val="false"/>
          <w:color w:val="404040"/>
          <w:sz w:val="18"/>
          <w:szCs w:val="18"/>
        </w:rPr>
        <w:t xml:space="preserve">China PMI unter 50</w:t>
      </w:r>
      <w:r>
        <w:rPr>
          <w:rFonts w:ascii="Arial" w:cs="Arial" w:eastAsia="Arial" w:hAnsi="Arial"/>
          <w:b/>
          <w:bCs/>
          <w:color w:val="2E75B6"/>
          <w:sz w:val="18"/>
          <w:szCs w:val="18"/>
        </w:rPr>
        <w:t xml:space="preserve"> → </w:t>
      </w:r>
      <w:r>
        <w:rPr>
          <w:rFonts w:ascii="Arial" w:cs="Arial" w:eastAsia="Arial" w:hAnsi="Arial"/>
          <w:b w:val="false"/>
          <w:bCs w:val="false"/>
          <w:color w:val="404040"/>
          <w:sz w:val="18"/>
          <w:szCs w:val="18"/>
        </w:rPr>
        <w:t xml:space="preserve">Asien-Aufträge (&gt;60% Umsatz) kollabieren → Rieter Revenue -15% → EPS -1.20 CHF → Kursziel 2.50 CHF (kurzfristig, 6-12 Monate)</w:t>
      </w:r>
    </w:p>
    <w:p>
      <w:pPr>
        <w:pStyle w:val="ListParagraph"/>
        <w:numPr>
          <w:ilvl w:val="0"/>
          <w:numId w:val="2"/>
        </w:numPr>
        <w:spacing w:after="30" w:before="30"/>
      </w:pPr>
      <w:r>
        <w:rPr>
          <w:rFonts w:ascii="Arial" w:cs="Arial" w:eastAsia="Arial" w:hAnsi="Arial"/>
          <w:b w:val="false"/>
          <w:bCs w:val="false"/>
          <w:color w:val="404040"/>
          <w:sz w:val="18"/>
          <w:szCs w:val="18"/>
        </w:rPr>
        <w:t xml:space="preserve">US 10Y Treasury Rate +100bps auf 5.4%</w:t>
      </w:r>
      <w:r>
        <w:rPr>
          <w:rFonts w:ascii="Arial" w:cs="Arial" w:eastAsia="Arial" w:hAnsi="Arial"/>
          <w:b/>
          <w:bCs/>
          <w:color w:val="2E75B6"/>
          <w:sz w:val="18"/>
          <w:szCs w:val="18"/>
        </w:rPr>
        <w:t xml:space="preserve"> → </w:t>
      </w:r>
      <w:r>
        <w:rPr>
          <w:rFonts w:ascii="Arial" w:cs="Arial" w:eastAsia="Arial" w:hAnsi="Arial"/>
          <w:b w:val="false"/>
          <w:bCs w:val="false"/>
          <w:color w:val="404040"/>
          <w:sz w:val="18"/>
          <w:szCs w:val="18"/>
        </w:rPr>
        <w:t xml:space="preserve">Kundenkreditkosten +30% → Investitionen in Textilmaschinen -15% → Rieter Umsatz -5% → EPS -0.20 CHF (mittelfristig, 12-18 Monate)</w:t>
      </w:r>
    </w:p>
    <w:p>
      <w:pPr>
        <w:pStyle w:val="ListParagraph"/>
        <w:numPr>
          <w:ilvl w:val="0"/>
          <w:numId w:val="2"/>
        </w:numPr>
        <w:spacing w:after="30" w:before="30"/>
      </w:pPr>
      <w:r>
        <w:rPr>
          <w:rFonts w:ascii="Arial" w:cs="Arial" w:eastAsia="Arial" w:hAnsi="Arial"/>
          <w:b w:val="false"/>
          <w:bCs w:val="false"/>
          <w:color w:val="404040"/>
          <w:sz w:val="18"/>
          <w:szCs w:val="18"/>
        </w:rPr>
        <w:t xml:space="preserve">EURCHF schwächt auf 0.85</w:t>
      </w:r>
      <w:r>
        <w:rPr>
          <w:rFonts w:ascii="Arial" w:cs="Arial" w:eastAsia="Arial" w:hAnsi="Arial"/>
          <w:b/>
          <w:bCs/>
          <w:color w:val="2E75B6"/>
          <w:sz w:val="18"/>
          <w:szCs w:val="18"/>
        </w:rPr>
        <w:t xml:space="preserve"> → </w:t>
      </w:r>
      <w:r>
        <w:rPr>
          <w:rFonts w:ascii="Arial" w:cs="Arial" w:eastAsia="Arial" w:hAnsi="Arial"/>
          <w:b w:val="false"/>
          <w:bCs w:val="false"/>
          <w:color w:val="404040"/>
          <w:sz w:val="18"/>
          <w:szCs w:val="18"/>
        </w:rPr>
        <w:t xml:space="preserve">Exportpreise +8% → Nachfrage aus Europa -10% → Umsatz -3% → operative Marge von 20% auf 17% → EPS -0.30 CHF (kurzfristig, 6 Monate)</w:t>
      </w:r>
    </w:p>
    <w:p>
      <w:pPr>
        <w:pStyle w:val="ListParagraph"/>
        <w:numPr>
          <w:ilvl w:val="0"/>
          <w:numId w:val="2"/>
        </w:numPr>
        <w:spacing w:after="30" w:before="30"/>
      </w:pPr>
      <w:r>
        <w:rPr>
          <w:rFonts w:ascii="Arial" w:cs="Arial" w:eastAsia="Arial" w:hAnsi="Arial"/>
          <w:b w:val="false"/>
          <w:bCs w:val="false"/>
          <w:color w:val="404040"/>
          <w:sz w:val="18"/>
          <w:szCs w:val="18"/>
        </w:rPr>
        <w:t xml:space="preserve">Barmag-Integration schlägt fehl</w:t>
      </w:r>
      <w:r>
        <w:rPr>
          <w:rFonts w:ascii="Arial" w:cs="Arial" w:eastAsia="Arial" w:hAnsi="Arial"/>
          <w:b/>
          <w:bCs/>
          <w:color w:val="2E75B6"/>
          <w:sz w:val="18"/>
          <w:szCs w:val="18"/>
        </w:rPr>
        <w:t xml:space="preserve"> → </w:t>
      </w:r>
      <w:r>
        <w:rPr>
          <w:rFonts w:ascii="Arial" w:cs="Arial" w:eastAsia="Arial" w:hAnsi="Arial"/>
          <w:b w:val="false"/>
          <w:bCs w:val="false"/>
          <w:color w:val="404040"/>
          <w:sz w:val="18"/>
          <w:szCs w:val="18"/>
        </w:rPr>
        <w:t xml:space="preserve">Synergie-Ziele verfehlt → Restrukturierungskosten 50 Mio CHF → EPS -1.50 CHF einmalig (mittelfristig, 12-24 Monate)</w:t>
      </w:r>
    </w:p>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MAKRO &amp; SENTIMENT AMPEL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2F2F2" w:sz="1"/>
              <w:left w:val="single" w:color="F2F2F2" w:sz="1"/>
              <w:bottom w:val="single" w:color="F2F2F2" w:sz="1"/>
              <w:right w:val="single" w:color="F2F2F2" w:sz="1"/>
            </w:tcBorders>
            <w:shd w:fill="F2F2F2" w:val="clear"/>
            <w:tcMar>
              <w:top w:type="dxa" w:w="120"/>
              <w:left w:type="dxa" w:w="160"/>
              <w:bottom w:type="dxa" w:w="120"/>
              <w:right w:type="dxa" w:w="160"/>
            </w:tcMar>
          </w:tcPr>
          <w:p>
            <w:pPr>
              <w:spacing w:after="40" w:before="0"/>
            </w:pPr>
            <w:r>
              <w:rPr>
                <w:rFonts w:ascii="Arial" w:cs="Arial" w:eastAsia="Arial" w:hAnsi="Arial"/>
                <w:sz w:val="20"/>
                <w:szCs w:val="20"/>
              </w:rPr>
              <w:t xml:space="preserve">🔴 </w:t>
            </w:r>
            <w:r>
              <w:rPr>
                <w:rFonts w:ascii="Arial" w:cs="Arial" w:eastAsia="Arial" w:hAnsi="Arial"/>
                <w:b/>
                <w:bCs/>
                <w:color w:val="C00000"/>
                <w:sz w:val="20"/>
                <w:szCs w:val="20"/>
              </w:rPr>
              <w:t xml:space="preserve">Makro</w:t>
            </w:r>
          </w:p>
          <w:p>
            <w:pPr>
              <w:spacing w:after="0" w:before="0"/>
            </w:pPr>
            <w:r>
              <w:rPr>
                <w:rFonts w:ascii="Arial" w:cs="Arial" w:eastAsia="Arial" w:hAnsi="Arial"/>
                <w:color w:val="404040"/>
                <w:sz w:val="17"/>
                <w:szCs w:val="17"/>
              </w:rPr>
              <w:t xml:space="preserve">US 10Y Rate 4.378% steigend + EURCHF 0.916 schwächelnd → doppelter Gegenwind für Export-Finanzierung</w:t>
            </w:r>
          </w:p>
        </w:tc>
        <w:tc>
          <w:tcPr>
            <w:tcW w:type="dxa" w:w="4680"/>
            <w:tcBorders>
              <w:top w:val="single" w:color="F2F2F2" w:sz="1"/>
              <w:left w:val="single" w:color="F2F2F2" w:sz="1"/>
              <w:bottom w:val="single" w:color="F2F2F2" w:sz="1"/>
              <w:right w:val="single" w:color="F2F2F2" w:sz="1"/>
            </w:tcBorders>
            <w:shd w:fill="F2F2F2" w:val="clear"/>
            <w:tcMar>
              <w:top w:type="dxa" w:w="120"/>
              <w:left w:type="dxa" w:w="160"/>
              <w:bottom w:type="dxa" w:w="120"/>
              <w:right w:type="dxa" w:w="160"/>
            </w:tcMar>
          </w:tcPr>
          <w:p>
            <w:pPr>
              <w:spacing w:after="40" w:before="0"/>
            </w:pPr>
            <w:r>
              <w:rPr>
                <w:rFonts w:ascii="Arial" w:cs="Arial" w:eastAsia="Arial" w:hAnsi="Arial"/>
                <w:sz w:val="20"/>
                <w:szCs w:val="20"/>
              </w:rPr>
              <w:t xml:space="preserve">🟡 </w:t>
            </w:r>
            <w:r>
              <w:rPr>
                <w:rFonts w:ascii="Arial" w:cs="Arial" w:eastAsia="Arial" w:hAnsi="Arial"/>
                <w:b/>
                <w:bCs/>
                <w:color w:val="7F6000"/>
                <w:sz w:val="20"/>
                <w:szCs w:val="20"/>
              </w:rPr>
              <w:t xml:space="preserve">Branche</w:t>
            </w:r>
          </w:p>
          <w:p>
            <w:pPr>
              <w:spacing w:after="0" w:before="0"/>
            </w:pPr>
            <w:r>
              <w:rPr>
                <w:rFonts w:ascii="Arial" w:cs="Arial" w:eastAsia="Arial" w:hAnsi="Arial"/>
                <w:color w:val="404040"/>
                <w:sz w:val="17"/>
                <w:szCs w:val="17"/>
              </w:rPr>
              <w:t xml:space="preserve">Manufacturing Output stabil, aber Supply Chain Disruptions + Capex-Trends gemischt → keine klare Richtung</w:t>
            </w:r>
          </w:p>
        </w:tc>
      </w:tr>
      <w:tr>
        <w:tc>
          <w:tcPr>
            <w:tcW w:type="dxa" w:w="4680"/>
            <w:tcBorders>
              <w:top w:val="single" w:color="F2F2F2" w:sz="1"/>
              <w:left w:val="single" w:color="F2F2F2" w:sz="1"/>
              <w:bottom w:val="single" w:color="F2F2F2" w:sz="1"/>
              <w:right w:val="single" w:color="F2F2F2" w:sz="1"/>
            </w:tcBorders>
            <w:shd w:fill="F2F2F2" w:val="clear"/>
            <w:tcMar>
              <w:top w:type="dxa" w:w="120"/>
              <w:left w:type="dxa" w:w="160"/>
              <w:bottom w:type="dxa" w:w="120"/>
              <w:right w:type="dxa" w:w="160"/>
            </w:tcMar>
          </w:tcPr>
          <w:p>
            <w:pPr>
              <w:spacing w:after="40" w:before="0"/>
            </w:pPr>
            <w:r>
              <w:rPr>
                <w:rFonts w:ascii="Arial" w:cs="Arial" w:eastAsia="Arial" w:hAnsi="Arial"/>
                <w:sz w:val="20"/>
                <w:szCs w:val="20"/>
              </w:rPr>
              <w:t xml:space="preserve">🟡 </w:t>
            </w:r>
            <w:r>
              <w:rPr>
                <w:rFonts w:ascii="Arial" w:cs="Arial" w:eastAsia="Arial" w:hAnsi="Arial"/>
                <w:b/>
                <w:bCs/>
                <w:color w:val="7F6000"/>
                <w:sz w:val="20"/>
                <w:szCs w:val="20"/>
              </w:rPr>
              <w:t xml:space="preserve">Unternehmen</w:t>
            </w:r>
          </w:p>
          <w:p>
            <w:pPr>
              <w:spacing w:after="0" w:before="0"/>
            </w:pPr>
            <w:r>
              <w:rPr>
                <w:rFonts w:ascii="Arial" w:cs="Arial" w:eastAsia="Arial" w:hAnsi="Arial"/>
                <w:color w:val="404040"/>
                <w:sz w:val="17"/>
                <w:szCs w:val="17"/>
              </w:rPr>
              <w:t xml:space="preserve">Barmag-Akquisition strategisch positiv, aber Free Cashflow -65.5 Mio CHF signalisiert akute Liquiditätsprobleme</w:t>
            </w:r>
          </w:p>
        </w:tc>
        <w:tc>
          <w:tcPr>
            <w:tcW w:type="dxa" w:w="4680"/>
            <w:tcBorders>
              <w:top w:val="single" w:color="F2F2F2" w:sz="1"/>
              <w:left w:val="single" w:color="F2F2F2" w:sz="1"/>
              <w:bottom w:val="single" w:color="F2F2F2" w:sz="1"/>
              <w:right w:val="single" w:color="F2F2F2" w:sz="1"/>
            </w:tcBorders>
            <w:shd w:fill="F2F2F2" w:val="clear"/>
            <w:tcMar>
              <w:top w:type="dxa" w:w="120"/>
              <w:left w:type="dxa" w:w="160"/>
              <w:bottom w:type="dxa" w:w="120"/>
              <w:right w:type="dxa" w:w="160"/>
            </w:tcMar>
          </w:tcPr>
          <w:p>
            <w:pPr>
              <w:spacing w:after="40" w:before="0"/>
            </w:pPr>
            <w:r>
              <w:rPr>
                <w:rFonts w:ascii="Arial" w:cs="Arial" w:eastAsia="Arial" w:hAnsi="Arial"/>
                <w:sz w:val="20"/>
                <w:szCs w:val="20"/>
              </w:rPr>
              <w:t xml:space="preserve">🟢 </w:t>
            </w:r>
            <w:r>
              <w:rPr>
                <w:rFonts w:ascii="Arial" w:cs="Arial" w:eastAsia="Arial" w:hAnsi="Arial"/>
                <w:b/>
                <w:bCs/>
                <w:color w:val="375623"/>
                <w:sz w:val="20"/>
                <w:szCs w:val="20"/>
              </w:rPr>
              <w:t xml:space="preserve">Konkurrenz</w:t>
            </w:r>
          </w:p>
          <w:p>
            <w:pPr>
              <w:spacing w:after="0" w:before="0"/>
            </w:pPr>
            <w:r>
              <w:rPr>
                <w:rFonts w:ascii="Arial" w:cs="Arial" w:eastAsia="Arial" w:hAnsi="Arial"/>
                <w:color w:val="404040"/>
                <w:sz w:val="17"/>
                <w:szCs w:val="17"/>
              </w:rPr>
              <w:t xml:space="preserve">Rieter handelt mit 60% Discount zu Peers (P/E 6x vs. 15x) → kompetitiv positioniert bei Value-Investoren</w:t>
            </w:r>
          </w:p>
        </w:tc>
      </w:tr>
    </w:tbl>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CONVICTION KILLERS</w:t>
      </w:r>
    </w:p>
    <w:p>
      <w:pPr>
        <w:pBdr>
          <w:top w:val="single" w:color="FF8C00" w:sz="6" w:space="1"/>
          <w:bottom w:val="single" w:color="FF8C00" w:sz="6" w:space="1"/>
          <w:left w:val="thick" w:color="FF8C00" w:sz="12" w:space="1"/>
          <w:right w:val="single" w:color="FF8C00" w:sz="6" w:space="1"/>
        </w:pBdr>
        <w:shd w:fill="FFF3CD" w:val="clear"/>
        <w:spacing w:after="80" w:before="200"/>
      </w:pPr>
      <w:r>
        <w:rPr>
          <w:rFonts w:ascii="Arial" w:cs="Arial" w:eastAsia="Arial" w:hAnsi="Arial"/>
          <w:b/>
          <w:bCs/>
          <w:color w:val="FF8C00"/>
          <w:sz w:val="19"/>
          <w:szCs w:val="19"/>
        </w:rPr>
        <w:t xml:space="preserve">⚠  CONVICTION KILLERS</w:t>
      </w:r>
    </w:p>
    <w:p>
      <w:pPr>
        <w:pBdr>
          <w:left w:val="thick" w:color="FF8C00" w:sz="12" w:space="1"/>
          <w:right w:val="single" w:color="FF8C00" w:sz="6" w:space="1"/>
        </w:pBdr>
        <w:shd w:fill="FFF3CD" w:val="clear"/>
        <w:spacing w:after="20" w:before="60"/>
        <w:ind w:left="200"/>
      </w:pPr>
      <w:r>
        <w:rPr>
          <w:rFonts w:ascii="Arial" w:cs="Arial" w:eastAsia="Arial" w:hAnsi="Arial"/>
          <w:color w:val="404040"/>
          <w:sz w:val="18"/>
          <w:szCs w:val="18"/>
        </w:rPr>
        <w:t xml:space="preserve">⚠ China PMI fällt unter 50 Punkte → Asien-Auftragseinbruch zerstört Bull-Case sofort</w:t>
      </w:r>
    </w:p>
    <w:p>
      <w:pPr>
        <w:pBdr>
          <w:bottom w:val="single" w:color="FF8C00" w:sz="6" w:space="1"/>
          <w:left w:val="thick" w:color="FF8C00" w:sz="12" w:space="1"/>
          <w:right w:val="single" w:color="FF8C00" w:sz="6" w:space="1"/>
        </w:pBdr>
        <w:shd w:fill="FFF3CD" w:val="clear"/>
        <w:spacing w:after="60" w:before="20"/>
        <w:ind w:left="360"/>
      </w:pPr>
      <w:r>
        <w:rPr>
          <w:rFonts w:ascii="Arial" w:cs="Arial" w:eastAsia="Arial" w:hAnsi="Arial"/>
          <w:i/>
          <w:iCs/>
          <w:color w:val="808080"/>
          <w:sz w:val="17"/>
          <w:szCs w:val="17"/>
        </w:rPr>
        <w:t xml:space="preserve">→ Monitor: Monatlich China PMI Manufacturing (NBS) — kritische Schwelle 50.0 — darunter kollabiert die Thesis</w:t>
      </w:r>
    </w:p>
    <w:p>
      <w:pPr>
        <w:pBdr>
          <w:left w:val="thick" w:color="FF8C00" w:sz="12" w:space="1"/>
          <w:right w:val="single" w:color="FF8C00" w:sz="6" w:space="1"/>
        </w:pBdr>
        <w:shd w:fill="FFF3CD" w:val="clear"/>
        <w:spacing w:after="20" w:before="60"/>
        <w:ind w:left="200"/>
      </w:pPr>
      <w:r>
        <w:rPr>
          <w:rFonts w:ascii="Arial" w:cs="Arial" w:eastAsia="Arial" w:hAnsi="Arial"/>
          <w:color w:val="404040"/>
          <w:sz w:val="18"/>
          <w:szCs w:val="18"/>
        </w:rPr>
        <w:t xml:space="preserve">⚠ US 10Y Treasury Rate steigt über 5.0% → Kundenkreditkosten explodieren, Investitionszyklus bricht ein</w:t>
      </w:r>
    </w:p>
    <w:p>
      <w:pPr>
        <w:pBdr>
          <w:bottom w:val="single" w:color="FF8C00" w:sz="6" w:space="1"/>
          <w:left w:val="thick" w:color="FF8C00" w:sz="12" w:space="1"/>
          <w:right w:val="single" w:color="FF8C00" w:sz="6" w:space="1"/>
        </w:pBdr>
        <w:shd w:fill="FFF3CD" w:val="clear"/>
        <w:spacing w:after="60" w:before="20"/>
        <w:ind w:left="360"/>
      </w:pPr>
      <w:r>
        <w:rPr>
          <w:rFonts w:ascii="Arial" w:cs="Arial" w:eastAsia="Arial" w:hAnsi="Arial"/>
          <w:i/>
          <w:iCs/>
          <w:color w:val="808080"/>
          <w:sz w:val="17"/>
          <w:szCs w:val="17"/>
        </w:rPr>
        <w:t xml:space="preserve">→ Monitor: Wöchentlich US 10Y Yield — kritische Schwelle 5.0% — darüber wird Free Cashflow nicht mehr generierbar</w:t>
      </w:r>
    </w:p>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ADVOCATUS DIABOLI — GEGENPOSITION</w:t>
      </w:r>
    </w:p>
    <w:p>
      <w:pPr>
        <w:shd w:fill="E8E8E8" w:val="clear"/>
        <w:spacing w:after="60" w:before="60"/>
        <w:ind w:left="360" w:right="360"/>
      </w:pPr>
      <w:r>
        <w:rPr>
          <w:rFonts w:ascii="Arial" w:cs="Arial" w:eastAsia="Arial" w:hAnsi="Arial"/>
          <w:i/>
          <w:iCs/>
          <w:color w:val="404040"/>
          <w:sz w:val="18"/>
          <w:szCs w:val="18"/>
        </w:rPr>
        <w:t xml:space="preserve">Die fundamentale Analyse übersieht drei kritische Punkte: (1) Forward P/E 6x reflektiert nicht Unterbewertung, sondern Marktskepsis wegen struktureller Nachfrageschwäche, (2) Free Cashflow -65.5 Mio CHF zeigt akute Liquiditätsprobleme, die bei anhaltendem Gegenwind zu Kapitalmaßnahmen zwingen, (3) 40% Bear-Case-Wahrscheinlichkeit bei gleichzeitiger KAUFEN-Empfehlung ist methodisch inkonsistent — Risk-Reward-Profil rechtfertigt maximal HALTEN.</w:t>
      </w:r>
    </w:p>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MONITORING CHECKLIST</w:t>
      </w:r>
    </w:p>
    <w:p>
      <w:pPr>
        <w:spacing w:after="30" w:before="30"/>
      </w:pPr>
      <w:r>
        <w:rPr>
          <w:rFonts w:ascii="Arial" w:cs="Arial" w:eastAsia="Arial" w:hAnsi="Arial"/>
          <w:color w:val="2E75B6"/>
          <w:sz w:val="18"/>
          <w:szCs w:val="18"/>
        </w:rPr>
        <w:t xml:space="preserve">□ </w:t>
      </w:r>
      <w:r>
        <w:rPr>
          <w:rFonts w:ascii="Arial" w:cs="Arial" w:eastAsia="Arial" w:hAnsi="Arial"/>
          <w:color w:val="404040"/>
          <w:sz w:val="18"/>
          <w:szCs w:val="18"/>
        </w:rPr>
        <w:t xml:space="preserve">China PMI Manufacturing (monatlich NBS-Release) — Zielwert &gt;52.0 für Bull-Case, kritische Schwelle &lt;50.0 tötet Thesis</w:t>
      </w:r>
    </w:p>
    <w:p>
      <w:pPr>
        <w:spacing w:after="30" w:before="30"/>
      </w:pPr>
      <w:r>
        <w:rPr>
          <w:rFonts w:ascii="Arial" w:cs="Arial" w:eastAsia="Arial" w:hAnsi="Arial"/>
          <w:color w:val="2E75B6"/>
          <w:sz w:val="18"/>
          <w:szCs w:val="18"/>
        </w:rPr>
        <w:t xml:space="preserve">□ </w:t>
      </w:r>
      <w:r>
        <w:rPr>
          <w:rFonts w:ascii="Arial" w:cs="Arial" w:eastAsia="Arial" w:hAnsi="Arial"/>
          <w:color w:val="404040"/>
          <w:sz w:val="18"/>
          <w:szCs w:val="18"/>
        </w:rPr>
        <w:t xml:space="preserve">US 10Y Treasury Yield (täglich) — Zielwert &lt;4.5% für Base-Case, kritische Schwelle &gt;5.0% triggert Bear-Case</w:t>
      </w:r>
    </w:p>
    <w:p>
      <w:pPr>
        <w:spacing w:after="30" w:before="30"/>
      </w:pPr>
      <w:r>
        <w:rPr>
          <w:rFonts w:ascii="Arial" w:cs="Arial" w:eastAsia="Arial" w:hAnsi="Arial"/>
          <w:color w:val="2E75B6"/>
          <w:sz w:val="18"/>
          <w:szCs w:val="18"/>
        </w:rPr>
        <w:t xml:space="preserve">□ </w:t>
      </w:r>
      <w:r>
        <w:rPr>
          <w:rFonts w:ascii="Arial" w:cs="Arial" w:eastAsia="Arial" w:hAnsi="Arial"/>
          <w:color w:val="404040"/>
          <w:sz w:val="18"/>
          <w:szCs w:val="18"/>
        </w:rPr>
        <w:t xml:space="preserve">Q2/Q3 2026 Order Intake (quartalsweise IR) — Zielwert +10% YoY für Bull-Case, kritische Schwelle -15% YoY bestätigt Bear-Case</w:t>
      </w:r>
    </w:p>
    <w:p>
      <w:pPr>
        <w:spacing w:after="30" w:before="30"/>
      </w:pPr>
      <w:r>
        <w:rPr>
          <w:rFonts w:ascii="Arial" w:cs="Arial" w:eastAsia="Arial" w:hAnsi="Arial"/>
          <w:color w:val="2E75B6"/>
          <w:sz w:val="18"/>
          <w:szCs w:val="18"/>
        </w:rPr>
        <w:t xml:space="preserve">□ </w:t>
      </w:r>
      <w:r>
        <w:rPr>
          <w:rFonts w:ascii="Arial" w:cs="Arial" w:eastAsia="Arial" w:hAnsi="Arial"/>
          <w:color w:val="404040"/>
          <w:sz w:val="18"/>
          <w:szCs w:val="18"/>
        </w:rPr>
        <w:t xml:space="preserve">Barmag Integration Progress (halbjährlich CEO-Update) — Zielwert: Synergien 20 Mio CHF p.a. ab 2027, kritische Schwelle: Restrukturierungskosten &gt;50 Mio CHF</w:t>
      </w:r>
    </w:p>
    <w:p>
      <w:pPr>
        <w:spacing w:after="30" w:before="30"/>
      </w:pPr>
      <w:r>
        <w:rPr>
          <w:rFonts w:ascii="Arial" w:cs="Arial" w:eastAsia="Arial" w:hAnsi="Arial"/>
          <w:color w:val="2E75B6"/>
          <w:sz w:val="18"/>
          <w:szCs w:val="18"/>
        </w:rPr>
        <w:t xml:space="preserve">□ </w:t>
      </w:r>
      <w:r>
        <w:rPr>
          <w:rFonts w:ascii="Arial" w:cs="Arial" w:eastAsia="Arial" w:hAnsi="Arial"/>
          <w:color w:val="404040"/>
          <w:sz w:val="18"/>
          <w:szCs w:val="18"/>
        </w:rPr>
        <w:t xml:space="preserve">Free Cashflow Q2-Q4 2026 (quartalsweise) — Zielwert: positiv ab Q3, kritische Schwelle: kumuliert &lt;-100 Mio CHF erfordert Kapitalerhöhung</w:t>
      </w:r>
    </w:p>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FINALE BEGRÜNDUNG &amp; EMPFEHLUNG</w:t>
      </w:r>
    </w:p>
    <w:p>
      <w:pPr>
        <w:spacing w:after="40" w:before="40"/>
      </w:pPr>
      <w:r>
        <w:rPr>
          <w:rFonts w:ascii="Arial" w:cs="Arial" w:eastAsia="Arial" w:hAnsi="Arial"/>
          <w:color w:val="404040"/>
          <w:sz w:val="18"/>
          <w:szCs w:val="18"/>
        </w:rPr>
        <w:t xml:space="preserve">Fundamental: Fair Value 4.5 CHF basiert auf historischen Multiples, ignoriert aber strukturelle Nachfrageschwäche (Free Cashflow -65.5 Mio) und 40% Bear-Case-Wahrscheinlichkeit → Gewicht reduziert von 50% auf 35% | Makro: Doppelter Gegenwind durch US 10Y Rate 4.378% (steigend) + EURCHF 0.916 (schwächelnd) dämpft Investitionsbereitschaft der Kunden → Gewicht erhöht von 20% auf 30% | Risk: Zwei Conviction Killers (China PMI &lt;50, US 10Y &gt;5%) mit jeweils 40% Bear-Case-Wahrscheinlichkeit überwiegen optimistische Sentiment-Bewertung (7/10) → Gewicht erhöht von 30% auf 35% | Gewichtetes Fazit: Base-Case-Preis 3.25 CHF (50% Wahrscheinlichkeit) liegt praktisch auf aktuellem Niveau 3.255 CHF → Empfehlung HALTEN bei Conviction Level NIEDRIG. Upgrade auf KAUFEN nur wenn (1) China PMI stabilisiert &gt;52 UND (2) US 10Y fällt &lt;4.3% UND (3) Q2 Order Intake positiv überrascht. Downgrade auf VERKAUFEN wenn einer der beiden Conviction Killers eintritt.</w:t>
      </w:r>
    </w:p>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QUELLEN &amp; DATENGRUNDLAGE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404040"/>
                <w:sz w:val="16"/>
                <w:szCs w:val="16"/>
              </w:rPr>
              <w:t xml:space="preserve">1</w:t>
            </w:r>
          </w:p>
        </w:tc>
        <w:tc>
          <w:tcPr>
            <w:tcW w:type="dxa" w:w="8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04040"/>
                <w:sz w:val="16"/>
                <w:szCs w:val="16"/>
              </w:rPr>
              <w:t xml:space="preserve">yfinance API — Finanzkennzahlen P/E, EV/EBITDA, Cashflow-Metriken</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404040"/>
                <w:sz w:val="16"/>
                <w:szCs w:val="16"/>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04040"/>
                <w:sz w:val="16"/>
                <w:szCs w:val="16"/>
              </w:rPr>
              <w:t xml:space="preserve">Rieter Annual Report 2025 (rieter-annual-report-2025-en.pdf) — Adjusted EPS 1.42 CHF, Page 158</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404040"/>
                <w:sz w:val="16"/>
                <w:szCs w:val="16"/>
              </w:rPr>
              <w:t xml:space="preserve">3</w:t>
            </w:r>
          </w:p>
        </w:tc>
        <w:tc>
          <w:tcPr>
            <w:tcW w:type="dxa" w:w="8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04040"/>
                <w:sz w:val="16"/>
                <w:szCs w:val="16"/>
              </w:rPr>
              <w:t xml:space="preserve">Rieter Media Release 2026-02-02 — Barmag-Akquisition Abschluss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404040"/>
                <w:sz w:val="16"/>
                <w:szCs w:val="16"/>
              </w:rPr>
              <w:t xml:space="preserve">4</w:t>
            </w:r>
          </w:p>
        </w:tc>
        <w:tc>
          <w:tcPr>
            <w:tcW w:type="dxa" w:w="8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04040"/>
                <w:sz w:val="16"/>
                <w:szCs w:val="16"/>
              </w:rPr>
              <w:t xml:space="preserve">Rieter Investor Update 2025-10-01 — Strategische Positionierung</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404040"/>
                <w:sz w:val="16"/>
                <w:szCs w:val="16"/>
              </w:rPr>
              <w:t xml:space="preserve">5</w:t>
            </w:r>
          </w:p>
        </w:tc>
        <w:tc>
          <w:tcPr>
            <w:tcW w:type="dxa" w:w="8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04040"/>
                <w:sz w:val="16"/>
                <w:szCs w:val="16"/>
              </w:rPr>
              <w:t xml:space="preserve">Reuters — China PMI, US Manufacturing Output, Supply Chain Disruptions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404040"/>
                <w:sz w:val="16"/>
                <w:szCs w:val="16"/>
              </w:rPr>
              <w:t xml:space="preserve">6</w:t>
            </w:r>
          </w:p>
        </w:tc>
        <w:tc>
          <w:tcPr>
            <w:tcW w:type="dxa" w:w="8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04040"/>
                <w:sz w:val="16"/>
                <w:szCs w:val="16"/>
              </w:rPr>
              <w:t xml:space="preserve">Bloomberg — Capital Expenditures Trends Industriesektor</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404040"/>
                <w:sz w:val="16"/>
                <w:szCs w:val="16"/>
              </w:rPr>
              <w:t xml:space="preserve">7</w:t>
            </w:r>
          </w:p>
        </w:tc>
        <w:tc>
          <w:tcPr>
            <w:tcW w:type="dxa" w:w="8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04040"/>
                <w:sz w:val="16"/>
                <w:szCs w:val="16"/>
              </w:rPr>
              <w:t xml:space="preserve">Risk-Agent Scenarios &amp; Conviction Killers — Bear/Base/Bull Case Quantifizierung</w:t>
            </w:r>
          </w:p>
        </w:tc>
      </w:tr>
    </w:tbl>
    <w:p>
      <w:pPr>
        <w:spacing w:after="0" w:before="60"/>
      </w:pPr>
    </w:p>
    <w:p>
      <w:pPr>
        <w:pBdr>
          <w:top w:val="single" w:color="D6E4F0" w:sz="4" w:space="1"/>
        </w:pBdr>
        <w:spacing w:after="0" w:before="160"/>
      </w:pPr>
      <w:r>
        <w:rPr>
          <w:rFonts w:ascii="Arial" w:cs="Arial" w:eastAsia="Arial" w:hAnsi="Arial"/>
          <w:i/>
          <w:iCs/>
          <w:color w:val="808080"/>
          <w:sz w:val="14"/>
          <w:szCs w:val="14"/>
        </w:rPr>
        <w:t xml:space="preserve">Disclaimer: Dieses Dokument wurde automatisch durch das KI-Co-Portfolio-Manager System generiert und dient ausschliesslich zu Informationszwecken. Es stellt keine Anlageberatung dar. Alle Angaben basieren auf öffentlich verfügbaren Daten (yfinance, Yahoo Finance) zum Zeitpunkt der Analyse. Eine Haftung für die Richtigkeit der Angaben wird nicht übernommen.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00"/>
    </w:pPr>
    <w:r>
      <w:rPr>
        <w:rFonts w:ascii="Arial" w:cs="Arial" w:eastAsia="Arial" w:hAnsi="Arial"/>
        <w:color w:val="1F3864"/>
        <w:sz w:val="15"/>
        <w:szCs w:val="15"/>
      </w:rPr>
      <w:t xml:space="preserve">Erstellt: 3. Mai 2026  |  KI-Co-Portfolio-Manager  |  Seite </w:t>
    </w:r>
    <w:r>
      <w:rPr>
        <w:rFonts w:ascii="Arial" w:cs="Arial" w:eastAsia="Arial" w:hAnsi="Arial"/>
        <w:color w:val="1F3864"/>
        <w:sz w:val="15"/>
        <w:szCs w:val="15"/>
      </w:rPr>
      <w:fldChar w:fldCharType="begin"/>
      <w:instrText xml:space="preserve">PAGE</w:instrText>
      <w:fldChar w:fldCharType="separate"/>
      <w:fldChar w:fldCharType="end"/>
    </w:r>
    <w:r>
      <w:rPr>
        <w:rFonts w:ascii="Arial" w:cs="Arial" w:eastAsia="Arial" w:hAnsi="Arial"/>
        <w:color w:val="1F3864"/>
        <w:sz w:val="15"/>
        <w:szCs w:val="15"/>
      </w:rPr>
      <w:t xml:space="preserve"> von </w:t>
    </w:r>
    <w:r>
      <w:rPr>
        <w:rFonts w:ascii="Arial" w:cs="Arial" w:eastAsia="Arial" w:hAnsi="Arial"/>
        <w:color w:val="1F386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00"/>
    </w:pPr>
    <w:r>
      <w:rPr>
        <w:rFonts w:ascii="Arial" w:cs="Arial" w:eastAsia="Arial" w:hAnsi="Arial"/>
        <w:i/>
        <w:iCs/>
        <w:color w:val="1F3864"/>
        <w:sz w:val="15"/>
        <w:szCs w:val="15"/>
      </w:rPr>
      <w:t xml:space="preserve">KI-Co-Portfolio-Manager  |  Investment Memo  |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2026-05-03T11:05:33.914Z</dcterms:created>
  <dcterms:modified xsi:type="dcterms:W3CDTF">2026-05-03T11:05:33.914Z</dcterms:modified>
</cp:coreProperties>
</file>

<file path=docProps/custom.xml><?xml version="1.0" encoding="utf-8"?>
<Properties xmlns="http://schemas.openxmlformats.org/officeDocument/2006/custom-properties" xmlns:vt="http://schemas.openxmlformats.org/officeDocument/2006/docPropsVTypes"/>
</file>