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id w:val="141635942"/>
        <w:docPartObj>
          <w:docPartGallery w:val="Table of Contents"/>
          <w:docPartUnique/>
        </w:docPartObj>
        <w:rPr>
          <w:rFonts w:cs="" w:cstheme="minorBidi"/>
          <w:sz w:val="24"/>
          <w:szCs w:val="24"/>
        </w:rPr>
      </w:sdtPr>
      <w:sdtEndPr>
        <w:rPr>
          <w:rFonts w:cs="" w:cstheme="minorBidi"/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37AE5307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37AE5307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37AE5307" w:rsidRDefault="00B7788F" w14:paraId="2819F8C6" w14:textId="26F4FFE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contextualSpacing/>
              <w:jc w:val="center"/>
            </w:pPr>
            <w:r w:rsidRPr="37AE5307" w:rsidR="0102E969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08/15/2024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37AE5307" w:rsidRDefault="00B7788F" w14:paraId="07699096" w14:textId="3E19CE12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37AE5307" w:rsidR="0102E969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Richard Wellman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37AE5307" w:rsidRDefault="00C32F3D" w14:paraId="77DC76FF" w14:textId="1D035F27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37AE5307" w:rsidR="0102E969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N/A</w:t>
            </w: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Pr="30A2BF11" w:rsidR="00025C05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Pr="30A2BF11" w:rsidR="00EB1CEC">
        <w:rPr>
          <w:rFonts w:eastAsia="Times New Roman"/>
          <w:sz w:val="22"/>
          <w:szCs w:val="22"/>
        </w:rPr>
        <w:t xml:space="preserve">ractices </w:t>
      </w:r>
      <w:r w:rsidRPr="30A2BF11" w:rsidR="00277B38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Pr="30A2BF11" w:rsidR="00F81BBB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Pr="30A2BF11" w:rsidR="00277B38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Pr="30A2BF11" w:rsidR="00277B38">
        <w:rPr>
          <w:rFonts w:eastAsia="Times New Roman"/>
          <w:sz w:val="22"/>
          <w:szCs w:val="22"/>
        </w:rPr>
        <w:t xml:space="preserve"> with software security testing protocols.</w:t>
      </w:r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Pr="00632C6F" w:rsidR="00114D54">
        <w:rPr>
          <w:rFonts w:eastAsia="Times New Roman"/>
          <w:sz w:val="22"/>
          <w:szCs w:val="22"/>
        </w:rPr>
        <w:t xml:space="preserve">your </w:t>
      </w:r>
      <w:r w:rsidRPr="00632C6F" w:rsidR="00025C05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Pr="00632C6F" w:rsidR="00025C05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Pr="00632C6F" w:rsidR="00025C05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Pr="00632C6F" w:rsidR="00025C05">
        <w:rPr>
          <w:rFonts w:eastAsia="Times New Roman"/>
          <w:sz w:val="22"/>
          <w:szCs w:val="22"/>
        </w:rPr>
        <w:t xml:space="preserve">, </w:t>
      </w:r>
      <w:r w:rsidRPr="00FC47F0" w:rsidR="00025C05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Pr="00FC47F0" w:rsidR="00632C6F">
        <w:rPr>
          <w:rFonts w:eastAsia="Times New Roman"/>
          <w:sz w:val="22"/>
          <w:szCs w:val="22"/>
        </w:rPr>
        <w:t xml:space="preserve"> </w:t>
      </w:r>
      <w:r w:rsidRPr="00632C6F" w:rsidR="00025C05">
        <w:rPr>
          <w:rFonts w:eastAsia="Times New Roman"/>
          <w:sz w:val="22"/>
          <w:szCs w:val="22"/>
        </w:rPr>
        <w:t>insert them</w:t>
      </w:r>
      <w:r w:rsidRPr="00632C6F" w:rsidR="00FD1686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Pr="00632C6F" w:rsidR="00025C05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Pr="00632C6F" w:rsidR="00025C05">
        <w:rPr>
          <w:rFonts w:eastAsia="Times New Roman"/>
          <w:sz w:val="22"/>
          <w:szCs w:val="22"/>
        </w:rPr>
        <w:t>.</w:t>
      </w:r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="00352FD0">
        <w:rPr/>
        <w:t>Developer</w:t>
      </w:r>
      <w:bookmarkEnd w:id="12"/>
      <w:bookmarkEnd w:id="13"/>
      <w:bookmarkEnd w:id="14"/>
    </w:p>
    <w:p w:rsidR="1988395A" w:rsidP="37AE5307" w:rsidRDefault="1988395A" w14:paraId="21C19D0A" w14:textId="35DDE91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37AE5307" w:rsidR="1988395A">
        <w:rPr>
          <w:rFonts w:cs="Calibri" w:cstheme="minorAscii"/>
          <w:sz w:val="22"/>
          <w:szCs w:val="22"/>
        </w:rPr>
        <w:t>Richard Wellman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37AE5307" w:rsidRDefault="00E4044A" w14:paraId="3C3C7792" w14:textId="77777777">
      <w:pPr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3BC21129" w:rsidP="37AE5307" w:rsidRDefault="3BC21129" w14:paraId="3E9412AB" w14:textId="5D27A9C8">
      <w:pPr>
        <w:pStyle w:val="Normal"/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AE5307" w:rsidR="3BC211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SHA-256 </w:t>
      </w:r>
      <w:r w:rsidRPr="37AE5307" w:rsidR="07AAF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RSA key encryption </w:t>
      </w:r>
      <w:r w:rsidRPr="37AE5307" w:rsidR="3BC211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what I would recommend for Artemis Financial, the use of a SHA-256 hashing algorithm reduces the possibility of </w:t>
      </w:r>
      <w:r w:rsidRPr="37AE5307" w:rsidR="006FE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collisions. </w:t>
      </w:r>
      <w:r w:rsidRPr="37AE5307" w:rsidR="41FA78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RSA is asymmetric</w:t>
      </w:r>
      <w:r w:rsidRPr="37AE5307" w:rsidR="7BE7FF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where the sender and receiver have different public and private keys</w:t>
      </w:r>
      <w:r w:rsidRPr="37AE5307" w:rsidR="41FA78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7AE5307" w:rsidR="41FA78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is used</w:t>
      </w:r>
      <w:r w:rsidRPr="37AE5307" w:rsidR="55FE9C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sending and receiving</w:t>
      </w:r>
      <w:r w:rsidRPr="37AE5307" w:rsidR="116519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signed</w:t>
      </w:r>
      <w:r w:rsidRPr="37AE5307" w:rsidR="55FE9C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public and private key </w:t>
      </w:r>
      <w:r w:rsidRPr="37AE5307" w:rsidR="625A4B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pairs, which</w:t>
      </w:r>
      <w:r w:rsidRPr="37AE5307" w:rsidR="55FE9C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helps to add another layer of security</w:t>
      </w:r>
      <w:r w:rsidRPr="37AE5307" w:rsidR="57F538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7AE5307" w:rsidP="37AE5307" w:rsidRDefault="37AE5307" w14:paraId="3B674DB9" w14:textId="23CEEC4F">
      <w:pPr>
        <w:spacing/>
        <w:contextualSpacing/>
        <w:rPr>
          <w:rFonts w:eastAsia="Times New Roman" w:cs="Calibri" w:cstheme="minorAsci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Pr="00B7788F" w:rsidR="00E4044A" w:rsidP="00D47759" w:rsidRDefault="00120ACD" w14:paraId="7CBD82F1" w14:textId="298175AE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:rsidR="003978A0" w:rsidP="00D47759" w:rsidRDefault="003978A0" w14:paraId="6BEBCC7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6F20B1B4" w:rsidP="37AE5307" w:rsidRDefault="6F20B1B4" w14:paraId="6A3B67DA" w14:textId="62D7DFBC">
      <w:pPr>
        <w:pStyle w:val="Normal"/>
        <w:spacing/>
        <w:contextualSpacing/>
        <w:rPr>
          <w:rFonts w:cs="Calibri" w:cstheme="minorAscii"/>
          <w:sz w:val="22"/>
          <w:szCs w:val="22"/>
        </w:rPr>
      </w:pPr>
      <w:r w:rsidR="6F20B1B4">
        <w:drawing>
          <wp:inline wp14:editId="0A7A76EE" wp14:anchorId="01D37743">
            <wp:extent cx="5943600" cy="4010025"/>
            <wp:effectExtent l="0" t="0" r="0" b="0"/>
            <wp:docPr id="1049896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6fd945f7f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E5307" w:rsidP="37AE5307" w:rsidRDefault="37AE5307" w14:paraId="0EBFCD6E" w14:textId="57E51092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="003978A0" w:rsidP="17EF2001" w:rsidRDefault="003978A0" w14:paraId="1D5553A4" w14:textId="77777777">
      <w:pPr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00C56FC2" w:rsidP="17EF2001" w:rsidRDefault="00DB5652" w14:paraId="53194620" w14:textId="03118BAA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Pr="17EF2001" w:rsidR="2F0FD1C2">
        <w:rPr>
          <w:rFonts w:eastAsia="Times New Roman" w:cs="Calibri" w:cstheme="minorAscii"/>
          <w:sz w:val="22"/>
          <w:szCs w:val="22"/>
        </w:rPr>
        <w:t xml:space="preserve">The screenshot below shows the checksum hash, the </w:t>
      </w:r>
      <w:r w:rsidRPr="17EF2001" w:rsidR="5C1B4909">
        <w:rPr>
          <w:rFonts w:eastAsia="Times New Roman" w:cs="Calibri" w:cstheme="minorAscii"/>
          <w:sz w:val="22"/>
          <w:szCs w:val="22"/>
        </w:rPr>
        <w:t>date,</w:t>
      </w:r>
      <w:r w:rsidRPr="17EF2001" w:rsidR="2F0FD1C2">
        <w:rPr>
          <w:rFonts w:eastAsia="Times New Roman" w:cs="Calibri" w:cstheme="minorAscii"/>
          <w:sz w:val="22"/>
          <w:szCs w:val="22"/>
        </w:rPr>
        <w:t xml:space="preserve"> and my name.</w:t>
      </w:r>
    </w:p>
    <w:p w:rsidR="00C56FC2" w:rsidP="17EF2001" w:rsidRDefault="00DB5652" w14:paraId="320DBB8C" w14:textId="1C26C8CB">
      <w:pPr>
        <w:pStyle w:val="Normal"/>
        <w:spacing/>
        <w:contextualSpacing/>
      </w:pPr>
      <w:r w:rsidR="1CCAA49A">
        <w:drawing>
          <wp:inline wp14:editId="03838ACB" wp14:anchorId="34A81E64">
            <wp:extent cx="5943600" cy="1647825"/>
            <wp:effectExtent l="0" t="0" r="0" b="0"/>
            <wp:docPr id="1673313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1b6e8263f4b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BA341E9" w14:textId="77777777">
      <w:pPr>
        <w:contextualSpacing/>
        <w:rPr>
          <w:rFonts w:cstheme="minorHAnsi"/>
          <w:sz w:val="22"/>
          <w:szCs w:val="22"/>
        </w:rPr>
      </w:pP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="003978A0" w:rsidP="17EF2001" w:rsidRDefault="003978A0" w14:paraId="2CB31EF5" w14:textId="553B0C6B">
      <w:pPr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000202DE" w:rsidP="17EF2001" w:rsidRDefault="00DB5652" w14:paraId="51D92974" w14:textId="0267AE08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Pr="17EF2001" w:rsidR="28798434">
        <w:rPr>
          <w:rFonts w:eastAsia="Times New Roman" w:cs="Calibri" w:cstheme="minorAscii"/>
          <w:sz w:val="22"/>
          <w:szCs w:val="22"/>
        </w:rPr>
        <w:t xml:space="preserve">The screenshot below shows the self-signed certificate </w:t>
      </w:r>
      <w:r w:rsidRPr="17EF2001" w:rsidR="3B0383C3">
        <w:rPr>
          <w:rFonts w:eastAsia="Times New Roman" w:cs="Calibri" w:cstheme="minorAscii"/>
          <w:sz w:val="22"/>
          <w:szCs w:val="22"/>
        </w:rPr>
        <w:t>as it appears in the browser. It shows not secure because it is a self-signed certificate and is of course not verified.</w:t>
      </w:r>
    </w:p>
    <w:p w:rsidR="3B0383C3" w:rsidP="17EF2001" w:rsidRDefault="3B0383C3" w14:paraId="46A49ECA" w14:textId="1E96CD75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="3B0383C3">
        <w:drawing>
          <wp:inline wp14:editId="668CC3A7" wp14:anchorId="6C954E00">
            <wp:extent cx="5943600" cy="4495800"/>
            <wp:effectExtent l="0" t="0" r="0" b="0"/>
            <wp:docPr id="1042255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a0606fab2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F2001" w:rsidP="17EF2001" w:rsidRDefault="17EF2001" w14:paraId="1EE918C1" w14:textId="1F39E6A4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17EF2001" w:rsidP="17EF2001" w:rsidRDefault="17EF2001" w14:paraId="0A507337" w14:textId="2BB51F0B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17EF2001" w:rsidP="17EF2001" w:rsidRDefault="17EF2001" w14:paraId="34F09724" w14:textId="35242A54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3B0383C3" w:rsidP="17EF2001" w:rsidRDefault="3B0383C3" w14:paraId="0743E015" w14:textId="3FFA3858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Pr="17EF2001" w:rsidR="3B0383C3">
        <w:rPr>
          <w:rFonts w:eastAsia="Times New Roman" w:cs="Calibri" w:cstheme="minorAscii"/>
          <w:sz w:val="22"/>
          <w:szCs w:val="22"/>
        </w:rPr>
        <w:t>For clarity, here is the server certificate generated on my PC in th</w:t>
      </w:r>
      <w:r w:rsidRPr="17EF2001" w:rsidR="35DFA57A">
        <w:rPr>
          <w:rFonts w:eastAsia="Times New Roman" w:cs="Calibri" w:cstheme="minorAscii"/>
          <w:sz w:val="22"/>
          <w:szCs w:val="22"/>
        </w:rPr>
        <w:t>e Java folder.</w:t>
      </w:r>
    </w:p>
    <w:p w:rsidR="17EF2001" w:rsidP="17EF2001" w:rsidRDefault="17EF2001" w14:paraId="0C461531" w14:textId="3D8E4233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17EF2001" w:rsidP="17EF2001" w:rsidRDefault="17EF2001" w14:paraId="348CE7E4" w14:textId="20DFD92F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35DFA57A" w:rsidP="17EF2001" w:rsidRDefault="35DFA57A" w14:paraId="566CF97A" w14:textId="5D5DB7F2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="35DFA57A">
        <w:drawing>
          <wp:inline wp14:editId="47556777" wp14:anchorId="0AF24D80">
            <wp:extent cx="3820058" cy="4858426"/>
            <wp:effectExtent l="0" t="0" r="0" b="0"/>
            <wp:docPr id="81757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c396a95ea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F2001" w:rsidP="17EF2001" w:rsidRDefault="17EF2001" w14:paraId="0AFF2704" w14:textId="5834BCB0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17EF2001" w:rsidP="17EF2001" w:rsidRDefault="17EF2001" w14:paraId="4CBDFDEB" w14:textId="10B49E2E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17EF2001" w:rsidP="17EF2001" w:rsidRDefault="17EF2001" w14:paraId="751E679E" w14:textId="3F0E6ACD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17EF2001" w:rsidP="17EF2001" w:rsidRDefault="17EF2001" w14:paraId="49426F68" w14:textId="3190728A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17EF2001" w:rsidP="17EF2001" w:rsidRDefault="17EF2001" w14:paraId="29F4ED79" w14:textId="6935BA57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17EF2001" w:rsidP="17EF2001" w:rsidRDefault="17EF2001" w14:paraId="205E1B9D" w14:textId="5241BE62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DB5652" w:rsidP="17EF2001" w:rsidRDefault="00DB5652" w14:paraId="75B70F3E" w14:textId="14BAFDF6">
      <w:pPr>
        <w:pStyle w:val="Normal"/>
        <w:spacing/>
        <w:contextualSpacing/>
      </w:pPr>
      <w:r w:rsidRPr="17EF2001" w:rsidR="00FF48E7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Pr="17EF2001" w:rsidR="006E3003">
        <w:rPr>
          <w:rFonts w:eastAsia="Times New Roman"/>
          <w:sz w:val="22"/>
          <w:szCs w:val="22"/>
        </w:rPr>
        <w:t>-</w:t>
      </w:r>
      <w:r w:rsidRPr="17EF2001" w:rsidR="00FF48E7">
        <w:rPr>
          <w:rFonts w:eastAsia="Times New Roman"/>
          <w:sz w:val="22"/>
          <w:szCs w:val="22"/>
        </w:rPr>
        <w:t>check report.</w:t>
      </w:r>
      <w:r w:rsidR="77365D69">
        <w:drawing>
          <wp:inline wp14:editId="47669F7D" wp14:anchorId="62598225">
            <wp:extent cx="5943600" cy="3800475"/>
            <wp:effectExtent l="0" t="0" r="0" b="0"/>
            <wp:docPr id="1398617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7c49c361d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365D69">
        <w:drawing>
          <wp:inline wp14:editId="0C4C5C6C" wp14:anchorId="11BA73C1">
            <wp:extent cx="5943600" cy="3829050"/>
            <wp:effectExtent l="0" t="0" r="0" b="0"/>
            <wp:docPr id="911656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6c9d0ffb7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9DA41E">
        <w:drawing>
          <wp:inline wp14:editId="52E31AB5" wp14:anchorId="25562624">
            <wp:extent cx="5943600" cy="3200400"/>
            <wp:effectExtent l="0" t="0" r="0" b="0"/>
            <wp:docPr id="135999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b39284d15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</w:pPr>
      <w:bookmarkStart w:name="_Toc1726280430" w:id="30"/>
      <w:bookmarkStart w:name="_Toc190184513" w:id="31"/>
      <w:bookmarkStart w:name="_Toc102040763" w:id="32"/>
      <w:r w:rsidRPr="00B7788F">
        <w:t>Functional Testing</w:t>
      </w:r>
      <w:bookmarkEnd w:id="30"/>
      <w:bookmarkEnd w:id="31"/>
      <w:bookmarkEnd w:id="32"/>
    </w:p>
    <w:p w:rsidRPr="00B7788F" w:rsidR="00E4044A" w:rsidP="00D47759" w:rsidRDefault="00E4044A" w14:paraId="6D135EC2" w14:textId="3448645C">
      <w:pPr>
        <w:contextualSpacing/>
        <w:rPr>
          <w:rFonts w:eastAsia="Times New Roman" w:cstheme="minorHAnsi"/>
          <w:sz w:val="22"/>
          <w:szCs w:val="22"/>
        </w:rPr>
      </w:pPr>
      <w:r w:rsidRPr="17EF2001" w:rsidR="00E4044A">
        <w:rPr>
          <w:rFonts w:eastAsia="Times New Roman"/>
          <w:sz w:val="22"/>
          <w:szCs w:val="22"/>
        </w:rPr>
        <w:t>Insert a screenshot below of the refactored code executed without errors.</w:t>
      </w:r>
    </w:p>
    <w:p w:rsidR="003978A0" w:rsidP="17EF2001" w:rsidRDefault="003978A0" w14:paraId="42BA38F6" w14:textId="1D628B5D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="0B9F8E4B">
        <w:drawing>
          <wp:inline wp14:editId="5A41A958" wp14:anchorId="5F5F98F2">
            <wp:extent cx="5943600" cy="3800475"/>
            <wp:effectExtent l="0" t="0" r="0" b="0"/>
            <wp:docPr id="532408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a171dcd27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9F8E4B">
        <w:drawing>
          <wp:inline wp14:editId="4BE0D738" wp14:anchorId="0CC69E81">
            <wp:extent cx="5943600" cy="3829050"/>
            <wp:effectExtent l="0" t="0" r="0" b="0"/>
            <wp:docPr id="30967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b369d4234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D47759" w:rsidRDefault="00E33862" w14:paraId="7B9F371C" w14:textId="52F5EA5A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="17EF2001" w:rsidP="17EF2001" w:rsidRDefault="17EF2001" w14:paraId="0C69F638" w14:textId="1DA4599A">
      <w:pPr>
        <w:pStyle w:val="Normal"/>
        <w:spacing/>
        <w:contextualSpacing/>
        <w:rPr>
          <w:rFonts w:eastAsia="Times New Roman"/>
          <w:sz w:val="22"/>
          <w:szCs w:val="22"/>
        </w:rPr>
      </w:pPr>
      <w:r>
        <w:br/>
      </w:r>
      <w:r w:rsidRPr="17EF2001" w:rsidR="0F0DB3A8">
        <w:rPr>
          <w:rFonts w:eastAsia="Times New Roman"/>
          <w:sz w:val="22"/>
          <w:szCs w:val="22"/>
        </w:rPr>
        <w:t>The app does not accept input. SHA-256 was used to create a hash for the checksum, which has a low probability of collision and so is secure.</w:t>
      </w:r>
      <w:r w:rsidRPr="17EF2001" w:rsidR="6BFFD193">
        <w:rPr>
          <w:rFonts w:eastAsia="Times New Roman"/>
          <w:sz w:val="22"/>
          <w:szCs w:val="22"/>
        </w:rPr>
        <w:t xml:space="preserve"> The certificate was created with SHA-256 and RSA as well and is encrypted.</w:t>
      </w:r>
      <w:r w:rsidRPr="17EF2001" w:rsidR="0F0DB3A8">
        <w:rPr>
          <w:rFonts w:eastAsia="Times New Roman"/>
          <w:sz w:val="22"/>
          <w:szCs w:val="22"/>
        </w:rPr>
        <w:t xml:space="preserve"> I kept classes private</w:t>
      </w:r>
      <w:r w:rsidRPr="17EF2001" w:rsidR="7E761854">
        <w:rPr>
          <w:rFonts w:eastAsia="Times New Roman"/>
          <w:sz w:val="22"/>
          <w:szCs w:val="22"/>
        </w:rPr>
        <w:t xml:space="preserve"> by default</w:t>
      </w:r>
      <w:r w:rsidRPr="17EF2001" w:rsidR="0F0DB3A8">
        <w:rPr>
          <w:rFonts w:eastAsia="Times New Roman"/>
          <w:sz w:val="22"/>
          <w:szCs w:val="22"/>
        </w:rPr>
        <w:t xml:space="preserve"> and only made public those classes that absolutely needed it.</w:t>
      </w:r>
      <w:r w:rsidRPr="17EF2001" w:rsidR="3184AF8C">
        <w:rPr>
          <w:rFonts w:eastAsia="Times New Roman"/>
          <w:sz w:val="22"/>
          <w:szCs w:val="22"/>
        </w:rPr>
        <w:t xml:space="preserve"> For instance, the generateSHA256Checksum is set to private, so how it works is </w:t>
      </w:r>
      <w:r w:rsidRPr="17EF2001" w:rsidR="14233332">
        <w:rPr>
          <w:rFonts w:eastAsia="Times New Roman"/>
          <w:sz w:val="22"/>
          <w:szCs w:val="22"/>
        </w:rPr>
        <w:t>unknown</w:t>
      </w:r>
      <w:r w:rsidRPr="17EF2001" w:rsidR="3184AF8C">
        <w:rPr>
          <w:rFonts w:eastAsia="Times New Roman"/>
          <w:sz w:val="22"/>
          <w:szCs w:val="22"/>
        </w:rPr>
        <w:t xml:space="preserve"> to anyone not directly viewing the code.</w:t>
      </w:r>
      <w:r w:rsidRPr="17EF2001" w:rsidR="6BFB9723">
        <w:rPr>
          <w:rFonts w:eastAsia="Times New Roman"/>
          <w:sz w:val="22"/>
          <w:szCs w:val="22"/>
        </w:rPr>
        <w:t xml:space="preserve"> </w:t>
      </w:r>
      <w:r w:rsidRPr="17EF2001" w:rsidR="69B5C35D">
        <w:rPr>
          <w:rFonts w:eastAsia="Times New Roman"/>
          <w:sz w:val="22"/>
          <w:szCs w:val="22"/>
        </w:rPr>
        <w:t xml:space="preserve">There is a try catch used to ensure errors are handled if the generate checksum function </w:t>
      </w:r>
      <w:r w:rsidRPr="17EF2001" w:rsidR="69B5C35D">
        <w:rPr>
          <w:rFonts w:eastAsia="Times New Roman"/>
          <w:sz w:val="22"/>
          <w:szCs w:val="22"/>
        </w:rPr>
        <w:t>fails to</w:t>
      </w:r>
      <w:r w:rsidRPr="17EF2001" w:rsidR="69B5C35D">
        <w:rPr>
          <w:rFonts w:eastAsia="Times New Roman"/>
          <w:sz w:val="22"/>
          <w:szCs w:val="22"/>
        </w:rPr>
        <w:t xml:space="preserve"> work.</w:t>
      </w:r>
      <w:r w:rsidRPr="17EF2001" w:rsidR="149B6E12">
        <w:rPr>
          <w:rFonts w:eastAsia="Times New Roman"/>
          <w:sz w:val="22"/>
          <w:szCs w:val="22"/>
        </w:rPr>
        <w:t xml:space="preserve"> Forward facing public trust can be reinforced with constant updates, training, and security checks. It only takes one breach for a company to lose trust in its customers and employees.</w:t>
      </w:r>
    </w:p>
    <w:p w:rsidR="006E3003" w:rsidP="00D47759" w:rsidRDefault="006E3003" w14:paraId="4C02CC3C" w14:textId="77777777">
      <w:pPr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Pr="00844A5D">
        <w:t>Industry Standard Best Practices</w:t>
      </w:r>
      <w:bookmarkEnd w:id="36"/>
      <w:bookmarkEnd w:id="37"/>
    </w:p>
    <w:p w:rsidR="17EF2001" w:rsidP="17EF2001" w:rsidRDefault="17EF2001" w14:paraId="0BD93FB1" w14:textId="1FD1CA66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20F1F5EF" w:rsidP="17EF2001" w:rsidRDefault="20F1F5EF" w14:paraId="42CE1AB1" w14:textId="5A634842">
      <w:pPr>
        <w:spacing/>
        <w:contextualSpacing/>
        <w:rPr>
          <w:rFonts w:eastAsia="Times New Roman"/>
          <w:sz w:val="22"/>
          <w:szCs w:val="22"/>
        </w:rPr>
      </w:pPr>
      <w:r w:rsidRPr="17EF2001" w:rsidR="20F1F5EF">
        <w:rPr>
          <w:rFonts w:eastAsia="Times New Roman"/>
          <w:sz w:val="22"/>
          <w:szCs w:val="22"/>
        </w:rPr>
        <w:t xml:space="preserve">I made sure to follow code modularity so functions can be reused as needed and it also keeps </w:t>
      </w:r>
      <w:r w:rsidRPr="17EF2001" w:rsidR="729CE63F">
        <w:rPr>
          <w:rFonts w:eastAsia="Times New Roman"/>
          <w:sz w:val="22"/>
          <w:szCs w:val="22"/>
        </w:rPr>
        <w:t>what needs to be kept private, private, and only allows public accessibility - in terms of classes - as needed.</w:t>
      </w:r>
      <w:r w:rsidRPr="17EF2001" w:rsidR="036E4A1E">
        <w:rPr>
          <w:rFonts w:eastAsia="Times New Roman"/>
          <w:sz w:val="22"/>
          <w:szCs w:val="22"/>
        </w:rPr>
        <w:t xml:space="preserve"> Maintaining code modularity as the app grows is going to help with security. Regular security testing, keeping dependencies up</w:t>
      </w:r>
      <w:r w:rsidRPr="17EF2001" w:rsidR="221CDA89">
        <w:rPr>
          <w:rFonts w:eastAsia="Times New Roman"/>
          <w:sz w:val="22"/>
          <w:szCs w:val="22"/>
        </w:rPr>
        <w:t xml:space="preserve"> to date, and constantly keeping staff up to date o</w:t>
      </w:r>
      <w:r w:rsidRPr="17EF2001" w:rsidR="7AAAB86E">
        <w:rPr>
          <w:rFonts w:eastAsia="Times New Roman"/>
          <w:sz w:val="22"/>
          <w:szCs w:val="22"/>
        </w:rPr>
        <w:t>n the latest vulnerabilities and threats will help with security.</w:t>
      </w:r>
      <w:r w:rsidRPr="17EF2001" w:rsidR="35CECA12">
        <w:rPr>
          <w:rFonts w:eastAsia="Times New Roman"/>
          <w:sz w:val="22"/>
          <w:szCs w:val="22"/>
        </w:rPr>
        <w:t xml:space="preserve"> Making sure to write only code that is necessary, commenting clearly, and thinking of future </w:t>
      </w:r>
      <w:r w:rsidRPr="17EF2001" w:rsidR="35CECA12">
        <w:rPr>
          <w:rFonts w:eastAsia="Times New Roman"/>
          <w:sz w:val="22"/>
          <w:szCs w:val="22"/>
        </w:rPr>
        <w:t>proof</w:t>
      </w:r>
      <w:r w:rsidRPr="17EF2001" w:rsidR="35CECA12">
        <w:rPr>
          <w:rFonts w:eastAsia="Times New Roman"/>
          <w:sz w:val="22"/>
          <w:szCs w:val="22"/>
        </w:rPr>
        <w:t xml:space="preserve"> code, such as not leaving in commented out code that could lead to a security breach or issue.</w:t>
      </w:r>
    </w:p>
    <w:p w:rsidR="17EF2001" w:rsidP="17EF2001" w:rsidRDefault="17EF2001" w14:paraId="53DA19F6" w14:textId="6B5749A4">
      <w:pPr>
        <w:spacing w:after="0" w:line="240" w:lineRule="auto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41CEB0" w:rsidP="17EF2001" w:rsidRDefault="3E41CEB0" w14:paraId="64FCD110" w14:textId="2095A58A">
      <w:pPr>
        <w:spacing w:after="0" w:line="240" w:lineRule="auto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EF2001" w:rsidR="3E41CE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References</w:t>
      </w:r>
    </w:p>
    <w:p w:rsidR="17EF2001" w:rsidP="17EF2001" w:rsidRDefault="17EF2001" w14:paraId="2EC2C0C4" w14:textId="0B29AD79">
      <w:pPr>
        <w:spacing w:after="0" w:line="240" w:lineRule="auto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41CEB0" w:rsidP="17EF2001" w:rsidRDefault="3E41CEB0" w14:paraId="75308367" w14:textId="1583C808">
      <w:pPr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EF2001" w:rsidR="3E41CE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Manico</w:t>
      </w:r>
      <w:r w:rsidRPr="17EF2001" w:rsidR="3E41CE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J., &amp; Detlefsen, A. (2014). Iron-Clad Java. McGraw Hill Computing</w:t>
      </w:r>
      <w:r w:rsidRPr="17EF2001" w:rsidR="3E41CE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</w:p>
    <w:p w:rsidR="17EF2001" w:rsidP="17EF2001" w:rsidRDefault="17EF2001" w14:paraId="64A69A59" w14:textId="5D53712D">
      <w:pPr>
        <w:spacing/>
        <w:contextualSpacing/>
        <w:rPr>
          <w:rFonts w:eastAsia="Times New Roman"/>
          <w:sz w:val="22"/>
          <w:szCs w:val="22"/>
        </w:rPr>
      </w:pP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13bcb60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6FE217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02B343"/>
    <w:rsid w:val="0102E969"/>
    <w:rsid w:val="018FF2A0"/>
    <w:rsid w:val="0286DF33"/>
    <w:rsid w:val="02F243EC"/>
    <w:rsid w:val="036E4A1E"/>
    <w:rsid w:val="0439EA3A"/>
    <w:rsid w:val="04EE8D4F"/>
    <w:rsid w:val="06D217B1"/>
    <w:rsid w:val="074DA8DB"/>
    <w:rsid w:val="07AAFD68"/>
    <w:rsid w:val="08CAC551"/>
    <w:rsid w:val="0B9F8E4B"/>
    <w:rsid w:val="0BAC86B1"/>
    <w:rsid w:val="0BFE869D"/>
    <w:rsid w:val="0C23F001"/>
    <w:rsid w:val="0E614383"/>
    <w:rsid w:val="0F0DB3A8"/>
    <w:rsid w:val="0F358907"/>
    <w:rsid w:val="11651924"/>
    <w:rsid w:val="1179F546"/>
    <w:rsid w:val="12A14ACD"/>
    <w:rsid w:val="13D3B39F"/>
    <w:rsid w:val="14233332"/>
    <w:rsid w:val="149B6E12"/>
    <w:rsid w:val="162ABF87"/>
    <w:rsid w:val="17A0D8FD"/>
    <w:rsid w:val="17EF2001"/>
    <w:rsid w:val="19212DB8"/>
    <w:rsid w:val="195DB78F"/>
    <w:rsid w:val="1988395A"/>
    <w:rsid w:val="1CCAA49A"/>
    <w:rsid w:val="1D4B739C"/>
    <w:rsid w:val="1FA2FC07"/>
    <w:rsid w:val="1FCCF913"/>
    <w:rsid w:val="20F1F5EF"/>
    <w:rsid w:val="21624222"/>
    <w:rsid w:val="2168C974"/>
    <w:rsid w:val="21AED21B"/>
    <w:rsid w:val="221CDA89"/>
    <w:rsid w:val="236039E6"/>
    <w:rsid w:val="24804986"/>
    <w:rsid w:val="26BC57F6"/>
    <w:rsid w:val="275A6BDC"/>
    <w:rsid w:val="28798434"/>
    <w:rsid w:val="2A96698A"/>
    <w:rsid w:val="2AD31EA7"/>
    <w:rsid w:val="2CB369A1"/>
    <w:rsid w:val="2E5D5C8F"/>
    <w:rsid w:val="2F0FD1C2"/>
    <w:rsid w:val="2F43C643"/>
    <w:rsid w:val="2F8A7DA4"/>
    <w:rsid w:val="30A2BF11"/>
    <w:rsid w:val="316C9EA3"/>
    <w:rsid w:val="3184AF8C"/>
    <w:rsid w:val="31AF8329"/>
    <w:rsid w:val="329BBDBD"/>
    <w:rsid w:val="32B903E8"/>
    <w:rsid w:val="3322AB25"/>
    <w:rsid w:val="3445AB91"/>
    <w:rsid w:val="347D29E8"/>
    <w:rsid w:val="35CECA12"/>
    <w:rsid w:val="35D35E7F"/>
    <w:rsid w:val="35DFA57A"/>
    <w:rsid w:val="376D3A8E"/>
    <w:rsid w:val="37AE5307"/>
    <w:rsid w:val="3942A62F"/>
    <w:rsid w:val="3AE22101"/>
    <w:rsid w:val="3B0383C3"/>
    <w:rsid w:val="3BC013C1"/>
    <w:rsid w:val="3BC21129"/>
    <w:rsid w:val="3CFCA4F9"/>
    <w:rsid w:val="3DB4D631"/>
    <w:rsid w:val="3E41CEB0"/>
    <w:rsid w:val="4007FAAC"/>
    <w:rsid w:val="4083F771"/>
    <w:rsid w:val="4083F771"/>
    <w:rsid w:val="414745F1"/>
    <w:rsid w:val="41B83E08"/>
    <w:rsid w:val="41FA7837"/>
    <w:rsid w:val="43501706"/>
    <w:rsid w:val="44136985"/>
    <w:rsid w:val="454174DB"/>
    <w:rsid w:val="47F056AF"/>
    <w:rsid w:val="48E6DAA8"/>
    <w:rsid w:val="4A82AB09"/>
    <w:rsid w:val="4BD571D5"/>
    <w:rsid w:val="4DA41EC3"/>
    <w:rsid w:val="4DEEA448"/>
    <w:rsid w:val="4E510242"/>
    <w:rsid w:val="4E51C0FE"/>
    <w:rsid w:val="4E5B8CBA"/>
    <w:rsid w:val="4FE0AD70"/>
    <w:rsid w:val="5018F677"/>
    <w:rsid w:val="5023FC1D"/>
    <w:rsid w:val="5130172B"/>
    <w:rsid w:val="51391587"/>
    <w:rsid w:val="55FE9CF1"/>
    <w:rsid w:val="56954D80"/>
    <w:rsid w:val="57F53847"/>
    <w:rsid w:val="5A02075A"/>
    <w:rsid w:val="5B587107"/>
    <w:rsid w:val="5B95489A"/>
    <w:rsid w:val="5C1B4909"/>
    <w:rsid w:val="5C63A1EF"/>
    <w:rsid w:val="5CA6386A"/>
    <w:rsid w:val="5D1FB581"/>
    <w:rsid w:val="5D1FB581"/>
    <w:rsid w:val="5D3B6A30"/>
    <w:rsid w:val="5DD73C14"/>
    <w:rsid w:val="5F1179A0"/>
    <w:rsid w:val="604FE896"/>
    <w:rsid w:val="620D193F"/>
    <w:rsid w:val="625A4B07"/>
    <w:rsid w:val="626E0980"/>
    <w:rsid w:val="6292A5E1"/>
    <w:rsid w:val="649EEB88"/>
    <w:rsid w:val="659E8B7C"/>
    <w:rsid w:val="65A48908"/>
    <w:rsid w:val="681DCBB2"/>
    <w:rsid w:val="686FFB5F"/>
    <w:rsid w:val="69B5C35D"/>
    <w:rsid w:val="69DDBFCF"/>
    <w:rsid w:val="69EDBCD2"/>
    <w:rsid w:val="6A97859E"/>
    <w:rsid w:val="6BFB9723"/>
    <w:rsid w:val="6BFFD193"/>
    <w:rsid w:val="6C5519AE"/>
    <w:rsid w:val="6D4E6B20"/>
    <w:rsid w:val="6DAC5A62"/>
    <w:rsid w:val="6F20B1B4"/>
    <w:rsid w:val="6FB01D34"/>
    <w:rsid w:val="70B8715F"/>
    <w:rsid w:val="7101F37A"/>
    <w:rsid w:val="729CE63F"/>
    <w:rsid w:val="73AF534C"/>
    <w:rsid w:val="751E25CE"/>
    <w:rsid w:val="77365D69"/>
    <w:rsid w:val="783D8A15"/>
    <w:rsid w:val="789DA41E"/>
    <w:rsid w:val="7AA95D77"/>
    <w:rsid w:val="7AAAB86E"/>
    <w:rsid w:val="7BE7FFB7"/>
    <w:rsid w:val="7BF07D6C"/>
    <w:rsid w:val="7C567870"/>
    <w:rsid w:val="7DC661F6"/>
    <w:rsid w:val="7E761854"/>
    <w:rsid w:val="7FD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4166fd945f7f4c44" /><Relationship Type="http://schemas.openxmlformats.org/officeDocument/2006/relationships/image" Target="/media/image4.png" Id="R1971b6e8263f4bbf" /><Relationship Type="http://schemas.openxmlformats.org/officeDocument/2006/relationships/image" Target="/media/image5.png" Id="R04aa0606fab2445a" /><Relationship Type="http://schemas.openxmlformats.org/officeDocument/2006/relationships/image" Target="/media/image6.png" Id="Re43c396a95ea4cde" /><Relationship Type="http://schemas.openxmlformats.org/officeDocument/2006/relationships/image" Target="/media/image7.png" Id="Rd6d7c49c361d4e80" /><Relationship Type="http://schemas.openxmlformats.org/officeDocument/2006/relationships/image" Target="/media/image8.png" Id="Re766c9d0ffb74c3a" /><Relationship Type="http://schemas.openxmlformats.org/officeDocument/2006/relationships/image" Target="/media/image9.png" Id="R0eab39284d154734" /><Relationship Type="http://schemas.openxmlformats.org/officeDocument/2006/relationships/image" Target="/media/imagea.png" Id="R7aaa171dcd274bc1" /><Relationship Type="http://schemas.openxmlformats.org/officeDocument/2006/relationships/image" Target="/media/imageb.png" Id="R733b369d423447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Wellman, Richard</lastModifiedBy>
  <revision>52</revision>
  <dcterms:created xsi:type="dcterms:W3CDTF">2022-04-20T12:43:00.0000000Z</dcterms:created>
  <dcterms:modified xsi:type="dcterms:W3CDTF">2024-08-16T03:52:09.5171203Z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