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6233A"/>
          <w:sz w:val="68"/>
        </w:rPr>
        <w:t>OptArena</w:t>
      </w:r>
    </w:p>
    <w:p>
      <w:pPr>
        <w:jc w:val="center"/>
      </w:pPr>
      <w:r>
        <w:rPr>
          <w:color w:val="2457A7"/>
          <w:sz w:val="36"/>
        </w:rPr>
        <w:t>Comprehensive AI, Software Engineering, Security, Abuse &amp; Market Audit</w:t>
      </w:r>
    </w:p>
    <w:p/>
    <w:p>
      <w:pPr>
        <w:jc w:val="center"/>
      </w:pPr>
      <w:r>
        <w:rPr>
          <w:b/>
        </w:rPr>
        <w:t>Repositories reviewed</w:t>
        <w:br/>
      </w:r>
      <w:r>
        <w:t>selfopt/optarena @ dff5306</w:t>
        <w:br/>
        <w:t>selfopt/optarena-docs @ 5cb2127</w:t>
        <w:br/>
        <w:br/>
      </w:r>
      <w:r>
        <w:t>Audit date: 18 July 2026</w:t>
        <w:br/>
        <w:t>Timezone: Asia/Kolkata</w:t>
        <w:br/>
        <w:t>Assessment type: code, tests, package, documentation, security/abuse and current-market review</w:t>
      </w:r>
    </w:p>
    <w:p/>
    <w:tbl>
      <w:tblPr>
        <w:tblW w:type="auto" w:w="0"/>
        <w:tblLook w:firstColumn="1" w:firstRow="1" w:lastColumn="0" w:lastRow="0" w:noHBand="0" w:noVBand="1" w:val="04A0"/>
      </w:tblPr>
      <w:tblGrid>
        <w:gridCol w:w="10080"/>
      </w:tblGrid>
      <w:tr>
        <w:tc>
          <w:tcPr>
            <w:tcW w:type="dxa" w:w="10080"/>
            <w:shd w:fill="EAF0F8"/>
            <w:vAlign w:val="center"/>
          </w:tcPr>
          <w:p>
            <w:pPr>
              <w:spacing w:after="0"/>
            </w:pPr>
            <w:r/>
            <w:r>
              <w:rPr>
                <w:rFonts w:ascii="Aptos" w:hAnsi="Aptos"/>
                <w:b/>
                <w:color w:val="16233A"/>
                <w:sz w:val="22"/>
              </w:rPr>
              <w:t>Overall conclusion: Strong product idea and substantial corpus engineering, but NOT production-safe or benchmark-integrity-ready until the critical isolation, credential and UI hidden-test defects are remediated.</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6233A"/>
            <w:vAlign w:val="center"/>
          </w:tcPr>
          <w:p>
            <w:pPr>
              <w:spacing w:after="0"/>
            </w:pPr>
            <w:r/>
            <w:r>
              <w:rPr>
                <w:rFonts w:ascii="Aptos" w:hAnsi="Aptos"/>
                <w:b/>
                <w:color w:val="FFFFFF"/>
                <w:sz w:val="17"/>
              </w:rPr>
              <w:t>Item</w:t>
            </w:r>
          </w:p>
        </w:tc>
        <w:tc>
          <w:tcPr>
            <w:tcW w:type="dxa" w:w="7920"/>
            <w:shd w:fill="16233A"/>
            <w:vAlign w:val="center"/>
          </w:tcPr>
          <w:p>
            <w:pPr>
              <w:spacing w:after="0"/>
            </w:pPr>
            <w:r/>
            <w:r>
              <w:rPr>
                <w:rFonts w:ascii="Aptos" w:hAnsi="Aptos"/>
                <w:b/>
                <w:color w:val="FFFFFF"/>
                <w:sz w:val="17"/>
              </w:rPr>
              <w:t>Value</w:t>
            </w:r>
          </w:p>
        </w:tc>
      </w:tr>
      <w:tr>
        <w:tc>
          <w:tcPr>
            <w:tcW w:type="dxa" w:w="2016"/>
            <w:vAlign w:val="center"/>
          </w:tcPr>
          <w:p>
            <w:pPr>
              <w:spacing w:after="0"/>
            </w:pPr>
            <w:r/>
            <w:r>
              <w:rPr>
                <w:rFonts w:ascii="Aptos" w:hAnsi="Aptos"/>
                <w:b w:val="0"/>
                <w:sz w:val="17"/>
              </w:rPr>
              <w:t>Prepared for</w:t>
            </w:r>
          </w:p>
        </w:tc>
        <w:tc>
          <w:tcPr>
            <w:tcW w:type="dxa" w:w="7920"/>
            <w:vAlign w:val="center"/>
          </w:tcPr>
          <w:p>
            <w:pPr>
              <w:spacing w:after="0"/>
            </w:pPr>
            <w:r/>
            <w:r>
              <w:rPr>
                <w:rFonts w:ascii="Aptos" w:hAnsi="Aptos"/>
                <w:b w:val="0"/>
                <w:sz w:val="17"/>
              </w:rPr>
              <w:t>OptArena maintainers / product stakeholders</w:t>
            </w:r>
          </w:p>
        </w:tc>
      </w:tr>
      <w:tr>
        <w:tc>
          <w:tcPr>
            <w:tcW w:type="dxa" w:w="2016"/>
            <w:shd w:fill="F7F9FC"/>
            <w:vAlign w:val="center"/>
          </w:tcPr>
          <w:p>
            <w:pPr>
              <w:spacing w:after="0"/>
            </w:pPr>
            <w:r/>
            <w:r>
              <w:rPr>
                <w:rFonts w:ascii="Aptos" w:hAnsi="Aptos"/>
                <w:b w:val="0"/>
                <w:sz w:val="17"/>
              </w:rPr>
              <w:t>Scope</w:t>
            </w:r>
          </w:p>
        </w:tc>
        <w:tc>
          <w:tcPr>
            <w:tcW w:type="dxa" w:w="7920"/>
            <w:shd w:fill="F7F9FC"/>
            <w:vAlign w:val="center"/>
          </w:tcPr>
          <w:p>
            <w:pPr>
              <w:spacing w:after="0"/>
            </w:pPr>
            <w:r/>
            <w:r>
              <w:rPr>
                <w:rFonts w:ascii="Aptos" w:hAnsi="Aptos"/>
                <w:b w:val="0"/>
                <w:sz w:val="17"/>
              </w:rPr>
              <w:t>Python core, drivers, UI harness, dashboard, Docker images/workflows, 500-case corpus, Docusaurus documentation, packaging and market</w:t>
            </w:r>
          </w:p>
        </w:tc>
      </w:tr>
      <w:tr>
        <w:tc>
          <w:tcPr>
            <w:tcW w:type="dxa" w:w="2016"/>
            <w:vAlign w:val="center"/>
          </w:tcPr>
          <w:p>
            <w:pPr>
              <w:spacing w:after="0"/>
            </w:pPr>
            <w:r/>
            <w:r>
              <w:rPr>
                <w:rFonts w:ascii="Aptos" w:hAnsi="Aptos"/>
                <w:b w:val="0"/>
                <w:sz w:val="17"/>
              </w:rPr>
              <w:t>Method</w:t>
            </w:r>
          </w:p>
        </w:tc>
        <w:tc>
          <w:tcPr>
            <w:tcW w:type="dxa" w:w="7920"/>
            <w:vAlign w:val="center"/>
          </w:tcPr>
          <w:p>
            <w:pPr>
              <w:spacing w:after="0"/>
            </w:pPr>
            <w:r/>
            <w:r>
              <w:rPr>
                <w:rFonts w:ascii="Aptos" w:hAnsi="Aptos"/>
                <w:b w:val="0"/>
                <w:sz w:val="17"/>
              </w:rPr>
              <w:t>Static review, safe execution, build/package inspection, coverage approximation, dependency audit, corpus metadata analysis, current primary-source research</w:t>
            </w:r>
          </w:p>
        </w:tc>
      </w:tr>
      <w:tr>
        <w:tc>
          <w:tcPr>
            <w:tcW w:type="dxa" w:w="2016"/>
            <w:shd w:fill="F7F9FC"/>
            <w:vAlign w:val="center"/>
          </w:tcPr>
          <w:p>
            <w:pPr>
              <w:spacing w:after="0"/>
            </w:pPr>
            <w:r/>
            <w:r>
              <w:rPr>
                <w:rFonts w:ascii="Aptos" w:hAnsi="Aptos"/>
                <w:b w:val="0"/>
                <w:sz w:val="17"/>
              </w:rPr>
              <w:t>Source mutation</w:t>
            </w:r>
          </w:p>
        </w:tc>
        <w:tc>
          <w:tcPr>
            <w:tcW w:type="dxa" w:w="7920"/>
            <w:shd w:fill="F7F9FC"/>
            <w:vAlign w:val="center"/>
          </w:tcPr>
          <w:p>
            <w:pPr>
              <w:spacing w:after="0"/>
            </w:pPr>
            <w:r/>
            <w:r>
              <w:rPr>
                <w:rFonts w:ascii="Aptos" w:hAnsi="Aptos"/>
                <w:b w:val="0"/>
                <w:sz w:val="17"/>
              </w:rPr>
              <w:t>No OptArena or docs source code was changed. Only this report artifact was created in the main workspace.</w:t>
            </w:r>
          </w:p>
        </w:tc>
      </w:tr>
      <w:tr>
        <w:tc>
          <w:tcPr>
            <w:tcW w:type="dxa" w:w="2016"/>
            <w:vAlign w:val="center"/>
          </w:tcPr>
          <w:p>
            <w:pPr>
              <w:spacing w:after="0"/>
            </w:pPr>
            <w:r/>
            <w:r>
              <w:rPr>
                <w:rFonts w:ascii="Aptos" w:hAnsi="Aptos"/>
                <w:b w:val="0"/>
                <w:sz w:val="17"/>
              </w:rPr>
              <w:t>Limitations</w:t>
            </w:r>
          </w:p>
        </w:tc>
        <w:tc>
          <w:tcPr>
            <w:tcW w:type="dxa" w:w="7920"/>
            <w:vAlign w:val="center"/>
          </w:tcPr>
          <w:p>
            <w:pPr>
              <w:spacing w:after="0"/>
            </w:pPr>
            <w:r/>
            <w:r>
              <w:rPr>
                <w:rFonts w:ascii="Aptos" w:hAnsi="Aptos"/>
                <w:b w:val="0"/>
                <w:sz w:val="17"/>
              </w:rPr>
              <w:t>No paid agent/backend runs; no destructive exploit execution; no full 1,154-variant Docker corpus replay; UI extensions were not installed/driven interactively</w:t>
            </w:r>
          </w:p>
        </w:tc>
      </w:tr>
    </w:tbl>
    <w:p>
      <w:pPr>
        <w:spacing w:after="0"/>
      </w:pPr>
    </w:p>
    <w:p>
      <w:pPr>
        <w:pStyle w:val="Heading1"/>
      </w:pPr>
      <w:r>
        <w:t>Table of contents</w:t>
      </w:r>
    </w:p>
    <w:p>
      <w:r>
        <w:fldChar w:fldCharType="begin"/>
        <w:instrText xml:space="preserve">TOC \o "1-3" \h \z \u</w:instrText>
        <w:fldChar w:fldCharType="separate"/>
        <w:t>Right-click and choose Update Field to refresh the table of contents.</w:t>
        <w:fldChar w:fldCharType="end"/>
      </w:r>
    </w:p>
    <w:p>
      <w:r>
        <w:br w:type="page"/>
      </w:r>
    </w:p>
    <w:p>
      <w:pPr>
        <w:pStyle w:val="Heading1"/>
      </w:pPr>
      <w:r>
        <w:t>1. Executive summary</w:t>
      </w:r>
    </w:p>
    <w:p>
      <w:r>
        <w:t>OptArena addresses a real problem: engineering teams need to compare the complete coding-agent system—client/harness, model, backend, prompt and tool policy—on their own tasks, not infer local performance from a public model leaderboard. Its local-first JSON store, real filesystem changes, behavioral tests, raw-model baselines, regression command and UI-native ambition are coherent and useful.</w:t>
      </w:r>
    </w:p>
    <w:p>
      <w:r>
        <w:t>The implementation is farther along than a prototype in corpus breadth, but less mature than its positioning suggests in security boundaries, benchmark integrity, distribution and end-to-end validation. Four issues are release blockers: hidden tests leak into live UI sessions; verifier code can fall back to host execution; agents receive excessive host permissions/secrets; and API keys are persisted and exposed by a repo-root server. A fifth critical integrity issue is that public answer-bearing fixtures and broad filesystem access make results gameable by adversarial or contaminated agents.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6233A"/>
            <w:vAlign w:val="center"/>
          </w:tcPr>
          <w:p>
            <w:pPr>
              <w:spacing w:after="0"/>
            </w:pPr>
            <w:r/>
            <w:r>
              <w:rPr>
                <w:rFonts w:ascii="Aptos" w:hAnsi="Aptos"/>
                <w:b/>
                <w:color w:val="FFFFFF"/>
                <w:sz w:val="17"/>
              </w:rPr>
              <w:t>Dimension</w:t>
            </w:r>
          </w:p>
        </w:tc>
        <w:tc>
          <w:tcPr>
            <w:tcW w:type="dxa" w:w="1008"/>
            <w:shd w:fill="16233A"/>
            <w:vAlign w:val="center"/>
          </w:tcPr>
          <w:p>
            <w:pPr>
              <w:spacing w:after="0"/>
            </w:pPr>
            <w:r/>
            <w:r>
              <w:rPr>
                <w:rFonts w:ascii="Aptos" w:hAnsi="Aptos"/>
                <w:b/>
                <w:color w:val="FFFFFF"/>
                <w:sz w:val="17"/>
              </w:rPr>
              <w:t>Score</w:t>
            </w:r>
          </w:p>
        </w:tc>
        <w:tc>
          <w:tcPr>
            <w:tcW w:type="dxa" w:w="6480"/>
            <w:shd w:fill="16233A"/>
            <w:vAlign w:val="center"/>
          </w:tcPr>
          <w:p>
            <w:pPr>
              <w:spacing w:after="0"/>
            </w:pPr>
            <w:r/>
            <w:r>
              <w:rPr>
                <w:rFonts w:ascii="Aptos" w:hAnsi="Aptos"/>
                <w:b/>
                <w:color w:val="FFFFFF"/>
                <w:sz w:val="17"/>
              </w:rPr>
              <w:t>Assessment</w:t>
            </w:r>
          </w:p>
        </w:tc>
      </w:tr>
      <w:tr>
        <w:tc>
          <w:tcPr>
            <w:tcW w:type="dxa" w:w="2448"/>
            <w:vAlign w:val="center"/>
          </w:tcPr>
          <w:p>
            <w:pPr>
              <w:spacing w:after="0"/>
            </w:pPr>
            <w:r/>
            <w:r>
              <w:rPr>
                <w:rFonts w:ascii="Aptos" w:hAnsi="Aptos"/>
                <w:b w:val="0"/>
                <w:sz w:val="17"/>
              </w:rPr>
              <w:t>Product idea / need</w:t>
            </w:r>
          </w:p>
        </w:tc>
        <w:tc>
          <w:tcPr>
            <w:tcW w:type="dxa" w:w="1008"/>
            <w:vAlign w:val="center"/>
          </w:tcPr>
          <w:p>
            <w:pPr>
              <w:spacing w:after="0"/>
            </w:pPr>
            <w:r/>
            <w:r>
              <w:rPr>
                <w:rFonts w:ascii="Aptos" w:hAnsi="Aptos"/>
                <w:b w:val="0"/>
                <w:sz w:val="17"/>
              </w:rPr>
              <w:t>8/10</w:t>
            </w:r>
          </w:p>
        </w:tc>
        <w:tc>
          <w:tcPr>
            <w:tcW w:type="dxa" w:w="6480"/>
            <w:vAlign w:val="center"/>
          </w:tcPr>
          <w:p>
            <w:pPr>
              <w:spacing w:after="0"/>
            </w:pPr>
            <w:r/>
            <w:r>
              <w:rPr>
                <w:rFonts w:ascii="Aptos" w:hAnsi="Aptos"/>
                <w:b w:val="0"/>
                <w:sz w:val="17"/>
              </w:rPr>
              <w:t>Strong need; clear local A/B workflow</w:t>
            </w:r>
          </w:p>
        </w:tc>
      </w:tr>
      <w:tr>
        <w:tc>
          <w:tcPr>
            <w:tcW w:type="dxa" w:w="2448"/>
            <w:shd w:fill="F7F9FC"/>
            <w:vAlign w:val="center"/>
          </w:tcPr>
          <w:p>
            <w:pPr>
              <w:spacing w:after="0"/>
            </w:pPr>
            <w:r/>
            <w:r>
              <w:rPr>
                <w:rFonts w:ascii="Aptos" w:hAnsi="Aptos"/>
                <w:b w:val="0"/>
                <w:sz w:val="17"/>
              </w:rPr>
              <w:t>Differentiation</w:t>
            </w:r>
          </w:p>
        </w:tc>
        <w:tc>
          <w:tcPr>
            <w:tcW w:type="dxa" w:w="1008"/>
            <w:shd w:fill="F7F9FC"/>
            <w:vAlign w:val="center"/>
          </w:tcPr>
          <w:p>
            <w:pPr>
              <w:spacing w:after="0"/>
            </w:pPr>
            <w:r/>
            <w:r>
              <w:rPr>
                <w:rFonts w:ascii="Aptos" w:hAnsi="Aptos"/>
                <w:b w:val="0"/>
                <w:sz w:val="17"/>
              </w:rPr>
              <w:t>7/10</w:t>
            </w:r>
          </w:p>
        </w:tc>
        <w:tc>
          <w:tcPr>
            <w:tcW w:type="dxa" w:w="6480"/>
            <w:shd w:fill="F7F9FC"/>
            <w:vAlign w:val="center"/>
          </w:tcPr>
          <w:p>
            <w:pPr>
              <w:spacing w:after="0"/>
            </w:pPr>
            <w:r/>
            <w:r>
              <w:rPr>
                <w:rFonts w:ascii="Aptos" w:hAnsi="Aptos"/>
                <w:b w:val="0"/>
                <w:sz w:val="17"/>
              </w:rPr>
              <w:t>Real IDE UI execution remains unusual; direct competitors now cover coding-agent evals</w:t>
            </w:r>
          </w:p>
        </w:tc>
      </w:tr>
      <w:tr>
        <w:tc>
          <w:tcPr>
            <w:tcW w:type="dxa" w:w="2448"/>
            <w:vAlign w:val="center"/>
          </w:tcPr>
          <w:p>
            <w:pPr>
              <w:spacing w:after="0"/>
            </w:pPr>
            <w:r/>
            <w:r>
              <w:rPr>
                <w:rFonts w:ascii="Aptos" w:hAnsi="Aptos"/>
                <w:b w:val="0"/>
                <w:sz w:val="17"/>
              </w:rPr>
              <w:t>Core implementation</w:t>
            </w:r>
          </w:p>
        </w:tc>
        <w:tc>
          <w:tcPr>
            <w:tcW w:type="dxa" w:w="1008"/>
            <w:vAlign w:val="center"/>
          </w:tcPr>
          <w:p>
            <w:pPr>
              <w:spacing w:after="0"/>
            </w:pPr>
            <w:r/>
            <w:r>
              <w:rPr>
                <w:rFonts w:ascii="Aptos" w:hAnsi="Aptos"/>
                <w:b w:val="0"/>
                <w:sz w:val="17"/>
              </w:rPr>
              <w:t>6/10</w:t>
            </w:r>
          </w:p>
        </w:tc>
        <w:tc>
          <w:tcPr>
            <w:tcW w:type="dxa" w:w="6480"/>
            <w:vAlign w:val="center"/>
          </w:tcPr>
          <w:p>
            <w:pPr>
              <w:spacing w:after="0"/>
            </w:pPr>
            <w:r/>
            <w:r>
              <w:rPr>
                <w:rFonts w:ascii="Aptos" w:hAnsi="Aptos"/>
                <w:b w:val="0"/>
                <w:sz w:val="17"/>
              </w:rPr>
              <w:t>Good architecture and corpus; multiple correctness/packaging gaps</w:t>
            </w:r>
          </w:p>
        </w:tc>
      </w:tr>
      <w:tr>
        <w:tc>
          <w:tcPr>
            <w:tcW w:type="dxa" w:w="2448"/>
            <w:shd w:fill="F7F9FC"/>
            <w:vAlign w:val="center"/>
          </w:tcPr>
          <w:p>
            <w:pPr>
              <w:spacing w:after="0"/>
            </w:pPr>
            <w:r/>
            <w:r>
              <w:rPr>
                <w:rFonts w:ascii="Aptos" w:hAnsi="Aptos"/>
                <w:b w:val="0"/>
                <w:sz w:val="17"/>
              </w:rPr>
              <w:t>Benchmark integrity</w:t>
            </w:r>
          </w:p>
        </w:tc>
        <w:tc>
          <w:tcPr>
            <w:tcW w:type="dxa" w:w="1008"/>
            <w:shd w:fill="F7F9FC"/>
            <w:vAlign w:val="center"/>
          </w:tcPr>
          <w:p>
            <w:pPr>
              <w:spacing w:after="0"/>
            </w:pPr>
            <w:r/>
            <w:r>
              <w:rPr>
                <w:rFonts w:ascii="Aptos" w:hAnsi="Aptos"/>
                <w:b w:val="0"/>
                <w:sz w:val="17"/>
              </w:rPr>
              <w:t>4/10</w:t>
            </w:r>
          </w:p>
        </w:tc>
        <w:tc>
          <w:tcPr>
            <w:tcW w:type="dxa" w:w="6480"/>
            <w:shd w:fill="F7F9FC"/>
            <w:vAlign w:val="center"/>
          </w:tcPr>
          <w:p>
            <w:pPr>
              <w:spacing w:after="0"/>
            </w:pPr>
            <w:r/>
            <w:r>
              <w:rPr>
                <w:rFonts w:ascii="Aptos" w:hAnsi="Aptos"/>
                <w:b w:val="0"/>
                <w:sz w:val="17"/>
              </w:rPr>
              <w:t>UI test leakage, answer visibility, shared verifier state</w:t>
            </w:r>
          </w:p>
        </w:tc>
      </w:tr>
      <w:tr>
        <w:tc>
          <w:tcPr>
            <w:tcW w:type="dxa" w:w="2448"/>
            <w:vAlign w:val="center"/>
          </w:tcPr>
          <w:p>
            <w:pPr>
              <w:spacing w:after="0"/>
            </w:pPr>
            <w:r/>
            <w:r>
              <w:rPr>
                <w:rFonts w:ascii="Aptos" w:hAnsi="Aptos"/>
                <w:b w:val="0"/>
                <w:sz w:val="17"/>
              </w:rPr>
              <w:t>Security / abuse resistance</w:t>
            </w:r>
          </w:p>
        </w:tc>
        <w:tc>
          <w:tcPr>
            <w:tcW w:type="dxa" w:w="1008"/>
            <w:vAlign w:val="center"/>
          </w:tcPr>
          <w:p>
            <w:pPr>
              <w:spacing w:after="0"/>
            </w:pPr>
            <w:r/>
            <w:r>
              <w:rPr>
                <w:rFonts w:ascii="Aptos" w:hAnsi="Aptos"/>
                <w:b w:val="0"/>
                <w:sz w:val="17"/>
              </w:rPr>
              <w:t>2/10</w:t>
            </w:r>
          </w:p>
        </w:tc>
        <w:tc>
          <w:tcPr>
            <w:tcW w:type="dxa" w:w="6480"/>
            <w:vAlign w:val="center"/>
          </w:tcPr>
          <w:p>
            <w:pPr>
              <w:spacing w:after="0"/>
            </w:pPr>
            <w:r/>
            <w:r>
              <w:rPr>
                <w:rFonts w:ascii="Aptos" w:hAnsi="Aptos"/>
                <w:b w:val="0"/>
                <w:sz w:val="17"/>
              </w:rPr>
              <w:t>Host execution, broad agent privilege and secret persistence are blockers</w:t>
            </w:r>
          </w:p>
        </w:tc>
      </w:tr>
      <w:tr>
        <w:tc>
          <w:tcPr>
            <w:tcW w:type="dxa" w:w="2448"/>
            <w:shd w:fill="F7F9FC"/>
            <w:vAlign w:val="center"/>
          </w:tcPr>
          <w:p>
            <w:pPr>
              <w:spacing w:after="0"/>
            </w:pPr>
            <w:r/>
            <w:r>
              <w:rPr>
                <w:rFonts w:ascii="Aptos" w:hAnsi="Aptos"/>
                <w:b w:val="0"/>
                <w:sz w:val="17"/>
              </w:rPr>
              <w:t>Automated test assurance</w:t>
            </w:r>
          </w:p>
        </w:tc>
        <w:tc>
          <w:tcPr>
            <w:tcW w:type="dxa" w:w="1008"/>
            <w:shd w:fill="F7F9FC"/>
            <w:vAlign w:val="center"/>
          </w:tcPr>
          <w:p>
            <w:pPr>
              <w:spacing w:after="0"/>
            </w:pPr>
            <w:r/>
            <w:r>
              <w:rPr>
                <w:rFonts w:ascii="Aptos" w:hAnsi="Aptos"/>
                <w:b w:val="0"/>
                <w:sz w:val="17"/>
              </w:rPr>
              <w:t>5/10</w:t>
            </w:r>
          </w:p>
        </w:tc>
        <w:tc>
          <w:tcPr>
            <w:tcW w:type="dxa" w:w="6480"/>
            <w:shd w:fill="F7F9FC"/>
            <w:vAlign w:val="center"/>
          </w:tcPr>
          <w:p>
            <w:pPr>
              <w:spacing w:after="0"/>
            </w:pPr>
            <w:r/>
            <w:r>
              <w:rPr>
                <w:rFonts w:ascii="Aptos" w:hAnsi="Aptos"/>
                <w:b w:val="0"/>
                <w:sz w:val="17"/>
              </w:rPr>
              <w:t>Good helper tests; weak boundary/integration coverage</w:t>
            </w:r>
          </w:p>
        </w:tc>
      </w:tr>
      <w:tr>
        <w:tc>
          <w:tcPr>
            <w:tcW w:type="dxa" w:w="2448"/>
            <w:vAlign w:val="center"/>
          </w:tcPr>
          <w:p>
            <w:pPr>
              <w:spacing w:after="0"/>
            </w:pPr>
            <w:r/>
            <w:r>
              <w:rPr>
                <w:rFonts w:ascii="Aptos" w:hAnsi="Aptos"/>
                <w:b w:val="0"/>
                <w:sz w:val="17"/>
              </w:rPr>
              <w:t>Documentation</w:t>
            </w:r>
          </w:p>
        </w:tc>
        <w:tc>
          <w:tcPr>
            <w:tcW w:type="dxa" w:w="1008"/>
            <w:vAlign w:val="center"/>
          </w:tcPr>
          <w:p>
            <w:pPr>
              <w:spacing w:after="0"/>
            </w:pPr>
            <w:r/>
            <w:r>
              <w:rPr>
                <w:rFonts w:ascii="Aptos" w:hAnsi="Aptos"/>
                <w:b w:val="0"/>
                <w:sz w:val="17"/>
              </w:rPr>
              <w:t>4/10</w:t>
            </w:r>
          </w:p>
        </w:tc>
        <w:tc>
          <w:tcPr>
            <w:tcW w:type="dxa" w:w="6480"/>
            <w:vAlign w:val="center"/>
          </w:tcPr>
          <w:p>
            <w:pPr>
              <w:spacing w:after="0"/>
            </w:pPr>
            <w:r/>
            <w:r>
              <w:rPr>
                <w:rFonts w:ascii="Aptos" w:hAnsi="Aptos"/>
                <w:b w:val="0"/>
                <w:sz w:val="17"/>
              </w:rPr>
              <w:t>Builds successfully but substantially stale and missing safe-use guidance</w:t>
            </w:r>
          </w:p>
        </w:tc>
      </w:tr>
      <w:tr>
        <w:tc>
          <w:tcPr>
            <w:tcW w:type="dxa" w:w="2448"/>
            <w:shd w:fill="F7F9FC"/>
            <w:vAlign w:val="center"/>
          </w:tcPr>
          <w:p>
            <w:pPr>
              <w:spacing w:after="0"/>
            </w:pPr>
            <w:r/>
            <w:r>
              <w:rPr>
                <w:rFonts w:ascii="Aptos" w:hAnsi="Aptos"/>
                <w:b w:val="0"/>
                <w:sz w:val="17"/>
              </w:rPr>
              <w:t>Release readiness</w:t>
            </w:r>
          </w:p>
        </w:tc>
        <w:tc>
          <w:tcPr>
            <w:tcW w:type="dxa" w:w="1008"/>
            <w:shd w:fill="F7F9FC"/>
            <w:vAlign w:val="center"/>
          </w:tcPr>
          <w:p>
            <w:pPr>
              <w:spacing w:after="0"/>
            </w:pPr>
            <w:r/>
            <w:r>
              <w:rPr>
                <w:rFonts w:ascii="Aptos" w:hAnsi="Aptos"/>
                <w:b w:val="0"/>
                <w:sz w:val="17"/>
              </w:rPr>
              <w:t>3/10</w:t>
            </w:r>
          </w:p>
        </w:tc>
        <w:tc>
          <w:tcPr>
            <w:tcW w:type="dxa" w:w="6480"/>
            <w:shd w:fill="F7F9FC"/>
            <w:vAlign w:val="center"/>
          </w:tcPr>
          <w:p>
            <w:pPr>
              <w:spacing w:after="0"/>
            </w:pPr>
            <w:r/>
            <w:r>
              <w:rPr>
                <w:rFonts w:ascii="Aptos" w:hAnsi="Aptos"/>
                <w:b w:val="0"/>
                <w:sz w:val="17"/>
              </w:rPr>
              <w:t>Wheel omits required assets; mutable evaluation supply chain</w:t>
            </w:r>
          </w:p>
        </w:tc>
      </w:tr>
    </w:tbl>
    <w:p>
      <w:pPr>
        <w:spacing w:after="0"/>
      </w:pPr>
    </w:p>
    <w:p>
      <w:pPr>
        <w:spacing w:after="80"/>
      </w:pPr>
      <w:r>
        <w:rPr>
          <w:b/>
          <w:color w:val="16233A"/>
        </w:rPr>
        <w:t xml:space="preserve">Recommendation: </w:t>
      </w:r>
      <w:r>
        <w:t>Do not market the current build as safely executing untrusted model code or as tamper-resistant competitive benchmarking. Ship a security/integrity stabilization release first, then reposition around reproducible local acceptance testing of coding-agent clients—including real UI behavior—where OptArena has the best wedge.</w:t>
      </w:r>
    </w:p>
    <w:p>
      <w:pPr>
        <w:pStyle w:val="Heading1"/>
      </w:pPr>
      <w:r>
        <w:t>2. What is implemented well</w:t>
      </w:r>
    </w:p>
    <w:p>
      <w:pPr>
        <w:pStyle w:val="ListBullet"/>
      </w:pPr>
      <w:r>
        <w:t>Clear domain separation: Scenario, Driver, CaseResult, runner, metrics, store and comparison are easy to follow and mostly dependency-free.</w:t>
      </w:r>
    </w:p>
    <w:p>
      <w:pPr>
        <w:pStyle w:val="ListBullet"/>
      </w:pPr>
      <w:r>
        <w:t>A large built-in corpus: 500 unique cases, all with behavioral check_command and test_setup_files, spanning 10 task types and 18 named language tags plus 7 legacy untagged cases.</w:t>
      </w:r>
    </w:p>
    <w:p>
      <w:pPr>
        <w:pStyle w:val="ListBullet"/>
      </w:pPr>
      <w:r>
        <w:t>Strong oracle direction: content checks are explicitly secondary to real compile/run/assert behavior; testing cases use mutation checks; verify-corpus encodes known-good/known-bad calibration.</w:t>
      </w:r>
    </w:p>
    <w:p>
      <w:pPr>
        <w:pStyle w:val="ListBullet"/>
      </w:pPr>
      <w:r>
        <w:t>Useful evaluation features: trials, parallelism, per-case regression names, raw-model baselines, driver metadata, cost/token fields, atomic JSON writes and a no-build dashboard.</w:t>
      </w:r>
    </w:p>
    <w:p>
      <w:pPr>
        <w:pStyle w:val="ListBullet"/>
      </w:pPr>
      <w:r>
        <w:t>Some meaningful hardening already exists: Docker --network none, CPU/memory limits, command timeouts, per-image toolchains, sanitized run filenames, atomic store writes and console encoding handling.</w:t>
      </w:r>
    </w:p>
    <w:p>
      <w:pPr>
        <w:pStyle w:val="ListBullet"/>
      </w:pPr>
      <w:r>
        <w:t>Documentation site is readable and production-buildable; Docusaurus broken-link handling caught no internal build failures in this review.</w:t>
      </w:r>
    </w:p>
    <w:p>
      <w:pPr>
        <w:pStyle w:val="Heading1"/>
      </w:pPr>
      <w:r>
        <w:t>3. Validation performed and observed results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6233A"/>
            <w:vAlign w:val="center"/>
          </w:tcPr>
          <w:p>
            <w:pPr>
              <w:spacing w:after="0"/>
            </w:pPr>
            <w:r/>
            <w:r>
              <w:rPr>
                <w:rFonts w:ascii="Aptos" w:hAnsi="Aptos"/>
                <w:b/>
                <w:color w:val="FFFFFF"/>
                <w:sz w:val="17"/>
              </w:rPr>
              <w:t>Check</w:t>
            </w:r>
          </w:p>
        </w:tc>
        <w:tc>
          <w:tcPr>
            <w:tcW w:type="dxa" w:w="2160"/>
            <w:shd w:fill="16233A"/>
            <w:vAlign w:val="center"/>
          </w:tcPr>
          <w:p>
            <w:pPr>
              <w:spacing w:after="0"/>
            </w:pPr>
            <w:r/>
            <w:r>
              <w:rPr>
                <w:rFonts w:ascii="Aptos" w:hAnsi="Aptos"/>
                <w:b/>
                <w:color w:val="FFFFFF"/>
                <w:sz w:val="17"/>
              </w:rPr>
              <w:t>Result</w:t>
            </w:r>
          </w:p>
        </w:tc>
        <w:tc>
          <w:tcPr>
            <w:tcW w:type="dxa" w:w="4896"/>
            <w:shd w:fill="16233A"/>
            <w:vAlign w:val="center"/>
          </w:tcPr>
          <w:p>
            <w:pPr>
              <w:spacing w:after="0"/>
            </w:pPr>
            <w:r/>
            <w:r>
              <w:rPr>
                <w:rFonts w:ascii="Aptos" w:hAnsi="Aptos"/>
                <w:b/>
                <w:color w:val="FFFFFF"/>
                <w:sz w:val="17"/>
              </w:rPr>
              <w:t>Interpretation</w:t>
            </w:r>
          </w:p>
        </w:tc>
      </w:tr>
      <w:tr>
        <w:tc>
          <w:tcPr>
            <w:tcW w:type="dxa" w:w="2880"/>
            <w:vAlign w:val="center"/>
          </w:tcPr>
          <w:p>
            <w:pPr>
              <w:spacing w:after="0"/>
            </w:pPr>
            <w:r/>
            <w:r>
              <w:rPr>
                <w:rFonts w:ascii="Aptos" w:hAnsi="Aptos"/>
                <w:b w:val="0"/>
                <w:sz w:val="17"/>
              </w:rPr>
              <w:t>Initial Python unit run (host fallback)</w:t>
            </w:r>
          </w:p>
        </w:tc>
        <w:tc>
          <w:tcPr>
            <w:tcW w:type="dxa" w:w="2160"/>
            <w:vAlign w:val="center"/>
          </w:tcPr>
          <w:p>
            <w:pPr>
              <w:spacing w:after="0"/>
            </w:pPr>
            <w:r/>
            <w:r>
              <w:rPr>
                <w:rFonts w:ascii="Aptos" w:hAnsi="Aptos"/>
                <w:b w:val="0"/>
                <w:sz w:val="17"/>
              </w:rPr>
              <w:t>70 pass / 5 fail</w:t>
            </w:r>
          </w:p>
        </w:tc>
        <w:tc>
          <w:tcPr>
            <w:tcW w:type="dxa" w:w="4896"/>
            <w:vAlign w:val="center"/>
          </w:tcPr>
          <w:p>
            <w:pPr>
              <w:spacing w:after="0"/>
            </w:pPr>
            <w:r/>
            <w:r>
              <w:rPr>
                <w:rFonts w:ascii="Aptos" w:hAnsi="Aptos"/>
                <w:b w:val="0"/>
                <w:sz w:val="17"/>
              </w:rPr>
              <w:t>Supported macOS/Python 3.12 host lacks python alias; portability defect</w:t>
            </w:r>
          </w:p>
        </w:tc>
      </w:tr>
      <w:tr>
        <w:tc>
          <w:tcPr>
            <w:tcW w:type="dxa" w:w="2880"/>
            <w:shd w:fill="F7F9FC"/>
            <w:vAlign w:val="center"/>
          </w:tcPr>
          <w:p>
            <w:pPr>
              <w:spacing w:after="0"/>
            </w:pPr>
            <w:r/>
            <w:r>
              <w:rPr>
                <w:rFonts w:ascii="Aptos" w:hAnsi="Aptos"/>
                <w:b w:val="0"/>
                <w:sz w:val="17"/>
              </w:rPr>
              <w:t>Unit run with temporary python→python3 PATH alias</w:t>
            </w:r>
          </w:p>
        </w:tc>
        <w:tc>
          <w:tcPr>
            <w:tcW w:type="dxa" w:w="2160"/>
            <w:shd w:fill="F7F9FC"/>
            <w:vAlign w:val="center"/>
          </w:tcPr>
          <w:p>
            <w:pPr>
              <w:spacing w:after="0"/>
            </w:pPr>
            <w:r/>
            <w:r>
              <w:rPr>
                <w:rFonts w:ascii="Aptos" w:hAnsi="Aptos"/>
                <w:b w:val="0"/>
                <w:sz w:val="17"/>
              </w:rPr>
              <w:t>75 / 75 pass</w:t>
            </w:r>
          </w:p>
        </w:tc>
        <w:tc>
          <w:tcPr>
            <w:tcW w:type="dxa" w:w="4896"/>
            <w:shd w:fill="F7F9FC"/>
            <w:vAlign w:val="center"/>
          </w:tcPr>
          <w:p>
            <w:pPr>
              <w:spacing w:after="0"/>
            </w:pPr>
            <w:r/>
            <w:r>
              <w:rPr>
                <w:rFonts w:ascii="Aptos" w:hAnsi="Aptos"/>
                <w:b w:val="0"/>
                <w:sz w:val="17"/>
              </w:rPr>
              <w:t>Core unit assertions pass when the hidden environment assumption is supplied</w:t>
            </w:r>
          </w:p>
        </w:tc>
      </w:tr>
      <w:tr>
        <w:tc>
          <w:tcPr>
            <w:tcW w:type="dxa" w:w="2880"/>
            <w:vAlign w:val="center"/>
          </w:tcPr>
          <w:p>
            <w:pPr>
              <w:spacing w:after="0"/>
            </w:pPr>
            <w:r/>
            <w:r>
              <w:rPr>
                <w:rFonts w:ascii="Aptos" w:hAnsi="Aptos"/>
                <w:b w:val="0"/>
                <w:sz w:val="17"/>
              </w:rPr>
              <w:t>Python compileall</w:t>
            </w:r>
          </w:p>
        </w:tc>
        <w:tc>
          <w:tcPr>
            <w:tcW w:type="dxa" w:w="2160"/>
            <w:vAlign w:val="center"/>
          </w:tcPr>
          <w:p>
            <w:pPr>
              <w:spacing w:after="0"/>
            </w:pPr>
            <w:r/>
            <w:r>
              <w:rPr>
                <w:rFonts w:ascii="Aptos" w:hAnsi="Aptos"/>
                <w:b w:val="0"/>
                <w:sz w:val="17"/>
              </w:rPr>
              <w:t>Pass</w:t>
            </w:r>
          </w:p>
        </w:tc>
        <w:tc>
          <w:tcPr>
            <w:tcW w:type="dxa" w:w="4896"/>
            <w:vAlign w:val="center"/>
          </w:tcPr>
          <w:p>
            <w:pPr>
              <w:spacing w:after="0"/>
            </w:pPr>
            <w:r/>
            <w:r>
              <w:rPr>
                <w:rFonts w:ascii="Aptos" w:hAnsi="Aptos"/>
                <w:b w:val="0"/>
                <w:sz w:val="17"/>
              </w:rPr>
              <w:t>No syntax errors in package</w:t>
            </w:r>
          </w:p>
        </w:tc>
      </w:tr>
      <w:tr>
        <w:tc>
          <w:tcPr>
            <w:tcW w:type="dxa" w:w="2880"/>
            <w:shd w:fill="F7F9FC"/>
            <w:vAlign w:val="center"/>
          </w:tcPr>
          <w:p>
            <w:pPr>
              <w:spacing w:after="0"/>
            </w:pPr>
            <w:r/>
            <w:r>
              <w:rPr>
                <w:rFonts w:ascii="Aptos" w:hAnsi="Aptos"/>
                <w:b w:val="0"/>
                <w:sz w:val="17"/>
              </w:rPr>
              <w:t>Node --check for harness JS</w:t>
            </w:r>
          </w:p>
        </w:tc>
        <w:tc>
          <w:tcPr>
            <w:tcW w:type="dxa" w:w="2160"/>
            <w:shd w:fill="F7F9FC"/>
            <w:vAlign w:val="center"/>
          </w:tcPr>
          <w:p>
            <w:pPr>
              <w:spacing w:after="0"/>
            </w:pPr>
            <w:r/>
            <w:r>
              <w:rPr>
                <w:rFonts w:ascii="Aptos" w:hAnsi="Aptos"/>
                <w:b w:val="0"/>
                <w:sz w:val="17"/>
              </w:rPr>
              <w:t>Pass</w:t>
            </w:r>
          </w:p>
        </w:tc>
        <w:tc>
          <w:tcPr>
            <w:tcW w:type="dxa" w:w="4896"/>
            <w:shd w:fill="F7F9FC"/>
            <w:vAlign w:val="center"/>
          </w:tcPr>
          <w:p>
            <w:pPr>
              <w:spacing w:after="0"/>
            </w:pPr>
            <w:r/>
            <w:r>
              <w:rPr>
                <w:rFonts w:ascii="Aptos" w:hAnsi="Aptos"/>
                <w:b w:val="0"/>
                <w:sz w:val="17"/>
              </w:rPr>
              <w:t>No JavaScript syntax errors</w:t>
            </w:r>
          </w:p>
        </w:tc>
      </w:tr>
      <w:tr>
        <w:tc>
          <w:tcPr>
            <w:tcW w:type="dxa" w:w="2880"/>
            <w:vAlign w:val="center"/>
          </w:tcPr>
          <w:p>
            <w:pPr>
              <w:spacing w:after="0"/>
            </w:pPr>
            <w:r/>
            <w:r>
              <w:rPr>
                <w:rFonts w:ascii="Aptos" w:hAnsi="Aptos"/>
                <w:b w:val="0"/>
                <w:sz w:val="17"/>
              </w:rPr>
              <w:t>ruff check</w:t>
            </w:r>
          </w:p>
        </w:tc>
        <w:tc>
          <w:tcPr>
            <w:tcW w:type="dxa" w:w="2160"/>
            <w:vAlign w:val="center"/>
          </w:tcPr>
          <w:p>
            <w:pPr>
              <w:spacing w:after="0"/>
            </w:pPr>
            <w:r/>
            <w:r>
              <w:rPr>
                <w:rFonts w:ascii="Aptos" w:hAnsi="Aptos"/>
                <w:b w:val="0"/>
                <w:sz w:val="17"/>
              </w:rPr>
              <w:t>2 F401 errors</w:t>
            </w:r>
          </w:p>
        </w:tc>
        <w:tc>
          <w:tcPr>
            <w:tcW w:type="dxa" w:w="4896"/>
            <w:vAlign w:val="center"/>
          </w:tcPr>
          <w:p>
            <w:pPr>
              <w:spacing w:after="0"/>
            </w:pPr>
            <w:r/>
            <w:r>
              <w:rPr>
                <w:rFonts w:ascii="Aptos" w:hAnsi="Aptos"/>
                <w:b w:val="0"/>
                <w:sz w:val="17"/>
              </w:rPr>
              <w:t>Minor static-quality debt; no lint gate</w:t>
            </w:r>
          </w:p>
        </w:tc>
      </w:tr>
      <w:tr>
        <w:tc>
          <w:tcPr>
            <w:tcW w:type="dxa" w:w="2880"/>
            <w:shd w:fill="F7F9FC"/>
            <w:vAlign w:val="center"/>
          </w:tcPr>
          <w:p>
            <w:pPr>
              <w:spacing w:after="0"/>
            </w:pPr>
            <w:r/>
            <w:r>
              <w:rPr>
                <w:rFonts w:ascii="Aptos" w:hAnsi="Aptos"/>
                <w:b w:val="0"/>
                <w:sz w:val="17"/>
              </w:rPr>
              <w:t>Approximate Python line coverage (stdlib trace)</w:t>
            </w:r>
          </w:p>
        </w:tc>
        <w:tc>
          <w:tcPr>
            <w:tcW w:type="dxa" w:w="2160"/>
            <w:shd w:fill="F7F9FC"/>
            <w:vAlign w:val="center"/>
          </w:tcPr>
          <w:p>
            <w:pPr>
              <w:spacing w:after="0"/>
            </w:pPr>
            <w:r/>
            <w:r>
              <w:rPr>
                <w:rFonts w:ascii="Aptos" w:hAnsi="Aptos"/>
                <w:b w:val="0"/>
                <w:sz w:val="17"/>
              </w:rPr>
              <w:t>~51% weighted</w:t>
            </w:r>
          </w:p>
        </w:tc>
        <w:tc>
          <w:tcPr>
            <w:tcW w:type="dxa" w:w="4896"/>
            <w:shd w:fill="F7F9FC"/>
            <w:vAlign w:val="center"/>
          </w:tcPr>
          <w:p>
            <w:pPr>
              <w:spacing w:after="0"/>
            </w:pPr>
            <w:r/>
            <w:r>
              <w:rPr>
                <w:rFonts w:ascii="Aptos" w:hAnsi="Aptos"/>
                <w:b w:val="0"/>
                <w:sz w:val="17"/>
              </w:rPr>
              <w:t>High in metrics/verify; low in CLI/drivers/runner/store; not branch coverage</w:t>
            </w:r>
          </w:p>
        </w:tc>
      </w:tr>
      <w:tr>
        <w:tc>
          <w:tcPr>
            <w:tcW w:type="dxa" w:w="2880"/>
            <w:vAlign w:val="center"/>
          </w:tcPr>
          <w:p>
            <w:pPr>
              <w:spacing w:after="0"/>
            </w:pPr>
            <w:r/>
            <w:r>
              <w:rPr>
                <w:rFonts w:ascii="Aptos" w:hAnsi="Aptos"/>
                <w:b w:val="0"/>
                <w:sz w:val="17"/>
              </w:rPr>
              <w:t>Wheel build and content inspection</w:t>
            </w:r>
          </w:p>
        </w:tc>
        <w:tc>
          <w:tcPr>
            <w:tcW w:type="dxa" w:w="2160"/>
            <w:vAlign w:val="center"/>
          </w:tcPr>
          <w:p>
            <w:pPr>
              <w:spacing w:after="0"/>
            </w:pPr>
            <w:r/>
            <w:r>
              <w:rPr>
                <w:rFonts w:ascii="Aptos" w:hAnsi="Aptos"/>
                <w:b w:val="0"/>
                <w:sz w:val="17"/>
              </w:rPr>
              <w:t>Build pass; asset smoke fail by inspection</w:t>
            </w:r>
          </w:p>
        </w:tc>
        <w:tc>
          <w:tcPr>
            <w:tcW w:type="dxa" w:w="4896"/>
            <w:vAlign w:val="center"/>
          </w:tcPr>
          <w:p>
            <w:pPr>
              <w:spacing w:after="0"/>
            </w:pPr>
            <w:r/>
            <w:r>
              <w:rPr>
                <w:rFonts w:ascii="Aptos" w:hAnsi="Aptos"/>
                <w:b w:val="0"/>
                <w:sz w:val="17"/>
              </w:rPr>
              <w:t>Cases packaged; dashboard/docker/repos/UI harness omitted</w:t>
            </w:r>
          </w:p>
        </w:tc>
      </w:tr>
      <w:tr>
        <w:tc>
          <w:tcPr>
            <w:tcW w:type="dxa" w:w="2880"/>
            <w:shd w:fill="F7F9FC"/>
            <w:vAlign w:val="center"/>
          </w:tcPr>
          <w:p>
            <w:pPr>
              <w:spacing w:after="0"/>
            </w:pPr>
            <w:r/>
            <w:r>
              <w:rPr>
                <w:rFonts w:ascii="Aptos" w:hAnsi="Aptos"/>
                <w:b w:val="0"/>
                <w:sz w:val="17"/>
              </w:rPr>
              <w:t>Docusaurus npm ci + production build</w:t>
            </w:r>
          </w:p>
        </w:tc>
        <w:tc>
          <w:tcPr>
            <w:tcW w:type="dxa" w:w="2160"/>
            <w:shd w:fill="F7F9FC"/>
            <w:vAlign w:val="center"/>
          </w:tcPr>
          <w:p>
            <w:pPr>
              <w:spacing w:after="0"/>
            </w:pPr>
            <w:r/>
            <w:r>
              <w:rPr>
                <w:rFonts w:ascii="Aptos" w:hAnsi="Aptos"/>
                <w:b w:val="0"/>
                <w:sz w:val="17"/>
              </w:rPr>
              <w:t>Pass</w:t>
            </w:r>
          </w:p>
        </w:tc>
        <w:tc>
          <w:tcPr>
            <w:tcW w:type="dxa" w:w="4896"/>
            <w:shd w:fill="F7F9FC"/>
            <w:vAlign w:val="center"/>
          </w:tcPr>
          <w:p>
            <w:pPr>
              <w:spacing w:after="0"/>
            </w:pPr>
            <w:r/>
            <w:r>
              <w:rPr>
                <w:rFonts w:ascii="Aptos" w:hAnsi="Aptos"/>
                <w:b w:val="0"/>
                <w:sz w:val="17"/>
              </w:rPr>
              <w:t>Static site builds successfully</w:t>
            </w:r>
          </w:p>
        </w:tc>
      </w:tr>
      <w:tr>
        <w:tc>
          <w:tcPr>
            <w:tcW w:type="dxa" w:w="2880"/>
            <w:vAlign w:val="center"/>
          </w:tcPr>
          <w:p>
            <w:pPr>
              <w:spacing w:after="0"/>
            </w:pPr>
            <w:r/>
            <w:r>
              <w:rPr>
                <w:rFonts w:ascii="Aptos" w:hAnsi="Aptos"/>
                <w:b w:val="0"/>
                <w:sz w:val="17"/>
              </w:rPr>
              <w:t>Docs npm audit --omit=dev</w:t>
            </w:r>
          </w:p>
        </w:tc>
        <w:tc>
          <w:tcPr>
            <w:tcW w:type="dxa" w:w="2160"/>
            <w:vAlign w:val="center"/>
          </w:tcPr>
          <w:p>
            <w:pPr>
              <w:spacing w:after="0"/>
            </w:pPr>
            <w:r/>
            <w:r>
              <w:rPr>
                <w:rFonts w:ascii="Aptos" w:hAnsi="Aptos"/>
                <w:b w:val="0"/>
                <w:sz w:val="17"/>
              </w:rPr>
              <w:t>21 advisories</w:t>
            </w:r>
          </w:p>
        </w:tc>
        <w:tc>
          <w:tcPr>
            <w:tcW w:type="dxa" w:w="4896"/>
            <w:vAlign w:val="center"/>
          </w:tcPr>
          <w:p>
            <w:pPr>
              <w:spacing w:after="0"/>
            </w:pPr>
            <w:r/>
            <w:r>
              <w:rPr>
                <w:rFonts w:ascii="Aptos" w:hAnsi="Aptos"/>
                <w:b w:val="0"/>
                <w:sz w:val="17"/>
              </w:rPr>
              <w:t>20 moderate, 1 high; build-time dependency risk</w:t>
            </w:r>
          </w:p>
        </w:tc>
      </w:tr>
      <w:tr>
        <w:tc>
          <w:tcPr>
            <w:tcW w:type="dxa" w:w="2880"/>
            <w:shd w:fill="F7F9FC"/>
            <w:vAlign w:val="center"/>
          </w:tcPr>
          <w:p>
            <w:pPr>
              <w:spacing w:after="0"/>
            </w:pPr>
            <w:r/>
            <w:r>
              <w:rPr>
                <w:rFonts w:ascii="Aptos" w:hAnsi="Aptos"/>
                <w:b w:val="0"/>
                <w:sz w:val="17"/>
              </w:rPr>
              <w:t>Corpus static audit</w:t>
            </w:r>
          </w:p>
        </w:tc>
        <w:tc>
          <w:tcPr>
            <w:tcW w:type="dxa" w:w="2160"/>
            <w:shd w:fill="F7F9FC"/>
            <w:vAlign w:val="center"/>
          </w:tcPr>
          <w:p>
            <w:pPr>
              <w:spacing w:after="0"/>
            </w:pPr>
            <w:r/>
            <w:r>
              <w:rPr>
                <w:rFonts w:ascii="Aptos" w:hAnsi="Aptos"/>
                <w:b w:val="0"/>
                <w:sz w:val="17"/>
              </w:rPr>
              <w:t>500 unique; 0 unsafe built-in paths</w:t>
            </w:r>
          </w:p>
        </w:tc>
        <w:tc>
          <w:tcPr>
            <w:tcW w:type="dxa" w:w="4896"/>
            <w:shd w:fill="F7F9FC"/>
            <w:vAlign w:val="center"/>
          </w:tcPr>
          <w:p>
            <w:pPr>
              <w:spacing w:after="0"/>
            </w:pPr>
            <w:r/>
            <w:r>
              <w:rPr>
                <w:rFonts w:ascii="Aptos" w:hAnsi="Aptos"/>
                <w:b w:val="0"/>
                <w:sz w:val="17"/>
              </w:rPr>
              <w:t>All cases have behavioral checks/tests; 42 skipped by variant verifier</w:t>
            </w:r>
          </w:p>
        </w:tc>
      </w:tr>
      <w:tr>
        <w:tc>
          <w:tcPr>
            <w:tcW w:type="dxa" w:w="2880"/>
            <w:vAlign w:val="center"/>
          </w:tcPr>
          <w:p>
            <w:pPr>
              <w:spacing w:after="0"/>
            </w:pPr>
            <w:r/>
            <w:r>
              <w:rPr>
                <w:rFonts w:ascii="Aptos" w:hAnsi="Aptos"/>
                <w:b w:val="0"/>
                <w:sz w:val="17"/>
              </w:rPr>
              <w:t>Full Docker corpus replay</w:t>
            </w:r>
          </w:p>
        </w:tc>
        <w:tc>
          <w:tcPr>
            <w:tcW w:type="dxa" w:w="2160"/>
            <w:vAlign w:val="center"/>
          </w:tcPr>
          <w:p>
            <w:pPr>
              <w:spacing w:after="0"/>
            </w:pPr>
            <w:r/>
            <w:r>
              <w:rPr>
                <w:rFonts w:ascii="Aptos" w:hAnsi="Aptos"/>
                <w:b w:val="0"/>
                <w:sz w:val="17"/>
              </w:rPr>
              <w:t>Not executed</w:t>
            </w:r>
          </w:p>
        </w:tc>
        <w:tc>
          <w:tcPr>
            <w:tcW w:type="dxa" w:w="4896"/>
            <w:vAlign w:val="center"/>
          </w:tcPr>
          <w:p>
            <w:pPr>
              <w:spacing w:after="0"/>
            </w:pPr>
            <w:r/>
            <w:r>
              <w:rPr>
                <w:rFonts w:ascii="Aptos" w:hAnsi="Aptos"/>
                <w:b w:val="0"/>
                <w:sz w:val="17"/>
              </w:rPr>
              <w:t>Would require large image pulls and 1,154 variants; CI design and fixtures were reviewed instead</w:t>
            </w:r>
          </w:p>
        </w:tc>
      </w:tr>
      <w:tr>
        <w:tc>
          <w:tcPr>
            <w:tcW w:type="dxa" w:w="2880"/>
            <w:shd w:fill="F7F9FC"/>
            <w:vAlign w:val="center"/>
          </w:tcPr>
          <w:p>
            <w:pPr>
              <w:spacing w:after="0"/>
            </w:pPr>
            <w:r/>
            <w:r>
              <w:rPr>
                <w:rFonts w:ascii="Aptos" w:hAnsi="Aptos"/>
                <w:b w:val="0"/>
                <w:sz w:val="17"/>
              </w:rPr>
              <w:t>Live paid/local agent/UI runs</w:t>
            </w:r>
          </w:p>
        </w:tc>
        <w:tc>
          <w:tcPr>
            <w:tcW w:type="dxa" w:w="2160"/>
            <w:shd w:fill="F7F9FC"/>
            <w:vAlign w:val="center"/>
          </w:tcPr>
          <w:p>
            <w:pPr>
              <w:spacing w:after="0"/>
            </w:pPr>
            <w:r/>
            <w:r>
              <w:rPr>
                <w:rFonts w:ascii="Aptos" w:hAnsi="Aptos"/>
                <w:b w:val="0"/>
                <w:sz w:val="17"/>
              </w:rPr>
              <w:t>Not executed</w:t>
            </w:r>
          </w:p>
        </w:tc>
        <w:tc>
          <w:tcPr>
            <w:tcW w:type="dxa" w:w="4896"/>
            <w:shd w:fill="F7F9FC"/>
            <w:vAlign w:val="center"/>
          </w:tcPr>
          <w:p>
            <w:pPr>
              <w:spacing w:after="0"/>
            </w:pPr>
            <w:r/>
            <w:r>
              <w:rPr>
                <w:rFonts w:ascii="Aptos" w:hAnsi="Aptos"/>
                <w:b w:val="0"/>
                <w:sz w:val="17"/>
              </w:rPr>
              <w:t>Avoided external cost/state and unavailable installed UI dependencies</w:t>
            </w:r>
          </w:p>
        </w:tc>
      </w:tr>
    </w:tbl>
    <w:p>
      <w:pPr>
        <w:spacing w:after="0"/>
      </w:pPr>
    </w:p>
    <w:p>
      <w:pPr>
        <w:pStyle w:val="Heading1"/>
      </w:pPr>
      <w:r>
        <w:t>4. Corpus and coverage facts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16233A"/>
            <w:vAlign w:val="center"/>
          </w:tcPr>
          <w:p>
            <w:pPr>
              <w:spacing w:after="0"/>
            </w:pPr>
            <w:r/>
            <w:r>
              <w:rPr>
                <w:rFonts w:ascii="Aptos" w:hAnsi="Aptos"/>
                <w:b/>
                <w:color w:val="FFFFFF"/>
                <w:sz w:val="17"/>
              </w:rPr>
              <w:t>Measure</w:t>
            </w:r>
          </w:p>
        </w:tc>
        <w:tc>
          <w:tcPr>
            <w:tcW w:type="dxa" w:w="6336"/>
            <w:shd w:fill="16233A"/>
            <w:vAlign w:val="center"/>
          </w:tcPr>
          <w:p>
            <w:pPr>
              <w:spacing w:after="0"/>
            </w:pPr>
            <w:r/>
            <w:r>
              <w:rPr>
                <w:rFonts w:ascii="Aptos" w:hAnsi="Aptos"/>
                <w:b/>
                <w:color w:val="FFFFFF"/>
                <w:sz w:val="17"/>
              </w:rPr>
              <w:t>Observed</w:t>
            </w:r>
          </w:p>
        </w:tc>
      </w:tr>
      <w:tr>
        <w:tc>
          <w:tcPr>
            <w:tcW w:type="dxa" w:w="3600"/>
            <w:vAlign w:val="center"/>
          </w:tcPr>
          <w:p>
            <w:pPr>
              <w:spacing w:after="0"/>
            </w:pPr>
            <w:r/>
            <w:r>
              <w:rPr>
                <w:rFonts w:ascii="Aptos" w:hAnsi="Aptos"/>
                <w:b w:val="0"/>
                <w:sz w:val="17"/>
              </w:rPr>
              <w:t>Cases</w:t>
            </w:r>
          </w:p>
        </w:tc>
        <w:tc>
          <w:tcPr>
            <w:tcW w:type="dxa" w:w="6336"/>
            <w:vAlign w:val="center"/>
          </w:tcPr>
          <w:p>
            <w:pPr>
              <w:spacing w:after="0"/>
            </w:pPr>
            <w:r/>
            <w:r>
              <w:rPr>
                <w:rFonts w:ascii="Aptos" w:hAnsi="Aptos"/>
                <w:b w:val="0"/>
                <w:sz w:val="17"/>
              </w:rPr>
              <w:t>500 files / 500 unique names</w:t>
            </w:r>
          </w:p>
        </w:tc>
      </w:tr>
      <w:tr>
        <w:tc>
          <w:tcPr>
            <w:tcW w:type="dxa" w:w="3600"/>
            <w:shd w:fill="F7F9FC"/>
            <w:vAlign w:val="center"/>
          </w:tcPr>
          <w:p>
            <w:pPr>
              <w:spacing w:after="0"/>
            </w:pPr>
            <w:r/>
            <w:r>
              <w:rPr>
                <w:rFonts w:ascii="Aptos" w:hAnsi="Aptos"/>
                <w:b w:val="0"/>
                <w:sz w:val="17"/>
              </w:rPr>
              <w:t>Behavioral checks</w:t>
            </w:r>
          </w:p>
        </w:tc>
        <w:tc>
          <w:tcPr>
            <w:tcW w:type="dxa" w:w="6336"/>
            <w:shd w:fill="F7F9FC"/>
            <w:vAlign w:val="center"/>
          </w:tcPr>
          <w:p>
            <w:pPr>
              <w:spacing w:after="0"/>
            </w:pPr>
            <w:r/>
            <w:r>
              <w:rPr>
                <w:rFonts w:ascii="Aptos" w:hAnsi="Aptos"/>
                <w:b w:val="0"/>
                <w:sz w:val="17"/>
              </w:rPr>
              <w:t>500 check_command; 500 test_setup_files</w:t>
            </w:r>
          </w:p>
        </w:tc>
      </w:tr>
      <w:tr>
        <w:tc>
          <w:tcPr>
            <w:tcW w:type="dxa" w:w="3600"/>
            <w:vAlign w:val="center"/>
          </w:tcPr>
          <w:p>
            <w:pPr>
              <w:spacing w:after="0"/>
            </w:pPr>
            <w:r/>
            <w:r>
              <w:rPr>
                <w:rFonts w:ascii="Aptos" w:hAnsi="Aptos"/>
                <w:b w:val="0"/>
                <w:sz w:val="17"/>
              </w:rPr>
              <w:t>Reference solutions</w:t>
            </w:r>
          </w:p>
        </w:tc>
        <w:tc>
          <w:tcPr>
            <w:tcW w:type="dxa" w:w="6336"/>
            <w:vAlign w:val="center"/>
          </w:tcPr>
          <w:p>
            <w:pPr>
              <w:spacing w:after="0"/>
            </w:pPr>
            <w:r/>
            <w:r>
              <w:rPr>
                <w:rFonts w:ascii="Aptos" w:hAnsi="Aptos"/>
                <w:b w:val="0"/>
                <w:sz w:val="17"/>
              </w:rPr>
              <w:t>396 present; 104 absent</w:t>
            </w:r>
          </w:p>
        </w:tc>
      </w:tr>
      <w:tr>
        <w:tc>
          <w:tcPr>
            <w:tcW w:type="dxa" w:w="3600"/>
            <w:shd w:fill="F7F9FC"/>
            <w:vAlign w:val="center"/>
          </w:tcPr>
          <w:p>
            <w:pPr>
              <w:spacing w:after="0"/>
            </w:pPr>
            <w:r/>
            <w:r>
              <w:rPr>
                <w:rFonts w:ascii="Aptos" w:hAnsi="Aptos"/>
                <w:b w:val="0"/>
                <w:sz w:val="17"/>
              </w:rPr>
              <w:t>Explicit broken variants</w:t>
            </w:r>
          </w:p>
        </w:tc>
        <w:tc>
          <w:tcPr>
            <w:tcW w:type="dxa" w:w="6336"/>
            <w:shd w:fill="F7F9FC"/>
            <w:vAlign w:val="center"/>
          </w:tcPr>
          <w:p>
            <w:pPr>
              <w:spacing w:after="0"/>
            </w:pPr>
            <w:r/>
            <w:r>
              <w:rPr>
                <w:rFonts w:ascii="Aptos" w:hAnsi="Aptos"/>
                <w:b w:val="0"/>
                <w:sz w:val="17"/>
              </w:rPr>
              <w:t>493</w:t>
            </w:r>
          </w:p>
        </w:tc>
      </w:tr>
      <w:tr>
        <w:tc>
          <w:tcPr>
            <w:tcW w:type="dxa" w:w="3600"/>
            <w:vAlign w:val="center"/>
          </w:tcPr>
          <w:p>
            <w:pPr>
              <w:spacing w:after="0"/>
            </w:pPr>
            <w:r/>
            <w:r>
              <w:rPr>
                <w:rFonts w:ascii="Aptos" w:hAnsi="Aptos"/>
                <w:b w:val="0"/>
                <w:sz w:val="17"/>
              </w:rPr>
              <w:t>Total verify variants (including implicit)</w:t>
            </w:r>
          </w:p>
        </w:tc>
        <w:tc>
          <w:tcPr>
            <w:tcW w:type="dxa" w:w="6336"/>
            <w:vAlign w:val="center"/>
          </w:tcPr>
          <w:p>
            <w:pPr>
              <w:spacing w:after="0"/>
            </w:pPr>
            <w:r/>
            <w:r>
              <w:rPr>
                <w:rFonts w:ascii="Aptos" w:hAnsi="Aptos"/>
                <w:b w:val="0"/>
                <w:sz w:val="17"/>
              </w:rPr>
              <w:t>1,154</w:t>
            </w:r>
          </w:p>
        </w:tc>
      </w:tr>
      <w:tr>
        <w:tc>
          <w:tcPr>
            <w:tcW w:type="dxa" w:w="3600"/>
            <w:shd w:fill="F7F9FC"/>
            <w:vAlign w:val="center"/>
          </w:tcPr>
          <w:p>
            <w:pPr>
              <w:spacing w:after="0"/>
            </w:pPr>
            <w:r/>
            <w:r>
              <w:rPr>
                <w:rFonts w:ascii="Aptos" w:hAnsi="Aptos"/>
                <w:b w:val="0"/>
                <w:sz w:val="17"/>
              </w:rPr>
              <w:t>Cases skipped by verify-corpus</w:t>
            </w:r>
          </w:p>
        </w:tc>
        <w:tc>
          <w:tcPr>
            <w:tcW w:type="dxa" w:w="6336"/>
            <w:shd w:fill="F7F9FC"/>
            <w:vAlign w:val="center"/>
          </w:tcPr>
          <w:p>
            <w:pPr>
              <w:spacing w:after="0"/>
            </w:pPr>
            <w:r/>
            <w:r>
              <w:rPr>
                <w:rFonts w:ascii="Aptos" w:hAnsi="Aptos"/>
                <w:b w:val="0"/>
                <w:sz w:val="17"/>
              </w:rPr>
              <w:t>42</w:t>
            </w:r>
          </w:p>
        </w:tc>
      </w:tr>
      <w:tr>
        <w:tc>
          <w:tcPr>
            <w:tcW w:type="dxa" w:w="3600"/>
            <w:vAlign w:val="center"/>
          </w:tcPr>
          <w:p>
            <w:pPr>
              <w:spacing w:after="0"/>
            </w:pPr>
            <w:r/>
            <w:r>
              <w:rPr>
                <w:rFonts w:ascii="Aptos" w:hAnsi="Aptos"/>
                <w:b w:val="0"/>
                <w:sz w:val="17"/>
              </w:rPr>
              <w:t>Task type distribution</w:t>
            </w:r>
          </w:p>
        </w:tc>
        <w:tc>
          <w:tcPr>
            <w:tcW w:type="dxa" w:w="6336"/>
            <w:vAlign w:val="center"/>
          </w:tcPr>
          <w:p>
            <w:pPr>
              <w:spacing w:after="0"/>
            </w:pPr>
            <w:r/>
            <w:r>
              <w:rPr>
                <w:rFonts w:ascii="Aptos" w:hAnsi="Aptos"/>
                <w:b w:val="0"/>
                <w:sz w:val="17"/>
              </w:rPr>
              <w:t>feature 95; bug_fix 95; refactoring 70; testing 65; security 55; performance 45; devops 45; data_engineering 15; dependency_upgrade 10; documentation 5</w:t>
            </w:r>
          </w:p>
        </w:tc>
      </w:tr>
      <w:tr>
        <w:tc>
          <w:tcPr>
            <w:tcW w:type="dxa" w:w="3600"/>
            <w:shd w:fill="F7F9FC"/>
            <w:vAlign w:val="center"/>
          </w:tcPr>
          <w:p>
            <w:pPr>
              <w:spacing w:after="0"/>
            </w:pPr>
            <w:r/>
            <w:r>
              <w:rPr>
                <w:rFonts w:ascii="Aptos" w:hAnsi="Aptos"/>
                <w:b w:val="0"/>
                <w:sz w:val="17"/>
              </w:rPr>
              <w:t>Difficulty distribution</w:t>
            </w:r>
          </w:p>
        </w:tc>
        <w:tc>
          <w:tcPr>
            <w:tcW w:type="dxa" w:w="6336"/>
            <w:shd w:fill="F7F9FC"/>
            <w:vAlign w:val="center"/>
          </w:tcPr>
          <w:p>
            <w:pPr>
              <w:spacing w:after="0"/>
            </w:pPr>
            <w:r/>
            <w:r>
              <w:rPr>
                <w:rFonts w:ascii="Aptos" w:hAnsi="Aptos"/>
                <w:b w:val="0"/>
                <w:sz w:val="17"/>
              </w:rPr>
              <w:t>1: 157; 2: 311; 3: 32; no level 4/5</w:t>
            </w:r>
          </w:p>
        </w:tc>
      </w:tr>
      <w:tr>
        <w:tc>
          <w:tcPr>
            <w:tcW w:type="dxa" w:w="3600"/>
            <w:vAlign w:val="center"/>
          </w:tcPr>
          <w:p>
            <w:pPr>
              <w:spacing w:after="0"/>
            </w:pPr>
            <w:r/>
            <w:r>
              <w:rPr>
                <w:rFonts w:ascii="Aptos" w:hAnsi="Aptos"/>
                <w:b w:val="0"/>
                <w:sz w:val="17"/>
              </w:rPr>
              <w:t>Host commands using python alias</w:t>
            </w:r>
          </w:p>
        </w:tc>
        <w:tc>
          <w:tcPr>
            <w:tcW w:type="dxa" w:w="6336"/>
            <w:vAlign w:val="center"/>
          </w:tcPr>
          <w:p>
            <w:pPr>
              <w:spacing w:after="0"/>
            </w:pPr>
            <w:r/>
            <w:r>
              <w:rPr>
                <w:rFonts w:ascii="Aptos" w:hAnsi="Aptos"/>
                <w:b w:val="0"/>
                <w:sz w:val="17"/>
              </w:rPr>
              <w:t>57</w:t>
            </w:r>
          </w:p>
        </w:tc>
      </w:tr>
      <w:tr>
        <w:tc>
          <w:tcPr>
            <w:tcW w:type="dxa" w:w="3600"/>
            <w:shd w:fill="F7F9FC"/>
            <w:vAlign w:val="center"/>
          </w:tcPr>
          <w:p>
            <w:pPr>
              <w:spacing w:after="0"/>
            </w:pPr>
            <w:r/>
            <w:r>
              <w:rPr>
                <w:rFonts w:ascii="Aptos" w:hAnsi="Aptos"/>
                <w:b w:val="0"/>
                <w:sz w:val="17"/>
              </w:rPr>
              <w:t>L3 starter-repo cases</w:t>
            </w:r>
          </w:p>
        </w:tc>
        <w:tc>
          <w:tcPr>
            <w:tcW w:type="dxa" w:w="6336"/>
            <w:shd w:fill="F7F9FC"/>
            <w:vAlign w:val="center"/>
          </w:tcPr>
          <w:p>
            <w:pPr>
              <w:spacing w:after="0"/>
            </w:pPr>
            <w:r/>
            <w:r>
              <w:rPr>
                <w:rFonts w:ascii="Aptos" w:hAnsi="Aptos"/>
                <w:b w:val="0"/>
                <w:sz w:val="17"/>
              </w:rPr>
              <w:t>14 across fastapi-tasktracker and express-ts-shortlink</w:t>
            </w:r>
          </w:p>
        </w:tc>
      </w:tr>
    </w:tbl>
    <w:p>
      <w:pPr>
        <w:spacing w:after="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shd w:fill="16233A"/>
            <w:vAlign w:val="center"/>
          </w:tcPr>
          <w:p>
            <w:pPr>
              <w:spacing w:after="0"/>
            </w:pPr>
            <w:r/>
            <w:r>
              <w:rPr>
                <w:rFonts w:ascii="Aptos" w:hAnsi="Aptos"/>
                <w:b/>
                <w:color w:val="FFFFFF"/>
                <w:sz w:val="17"/>
              </w:rPr>
              <w:t>Module</w:t>
            </w:r>
          </w:p>
        </w:tc>
        <w:tc>
          <w:tcPr>
            <w:tcW w:type="dxa" w:w="5472"/>
            <w:shd w:fill="16233A"/>
            <w:vAlign w:val="center"/>
          </w:tcPr>
          <w:p>
            <w:pPr>
              <w:spacing w:after="0"/>
            </w:pPr>
            <w:r/>
            <w:r>
              <w:rPr>
                <w:rFonts w:ascii="Aptos" w:hAnsi="Aptos"/>
                <w:b/>
                <w:color w:val="FFFFFF"/>
                <w:sz w:val="17"/>
              </w:rPr>
              <w:t>Approx. line coverage</w:t>
            </w:r>
          </w:p>
        </w:tc>
      </w:tr>
      <w:tr>
        <w:tc>
          <w:tcPr>
            <w:tcW w:type="dxa" w:w="4464"/>
            <w:vAlign w:val="center"/>
          </w:tcPr>
          <w:p>
            <w:pPr>
              <w:spacing w:after="0"/>
            </w:pPr>
            <w:r/>
            <w:r>
              <w:rPr>
                <w:rFonts w:ascii="Aptos" w:hAnsi="Aptos"/>
                <w:b w:val="0"/>
                <w:sz w:val="17"/>
              </w:rPr>
              <w:t>optarena.metrics</w:t>
            </w:r>
          </w:p>
        </w:tc>
        <w:tc>
          <w:tcPr>
            <w:tcW w:type="dxa" w:w="5472"/>
            <w:vAlign w:val="center"/>
          </w:tcPr>
          <w:p>
            <w:pPr>
              <w:spacing w:after="0"/>
            </w:pPr>
            <w:r/>
            <w:r>
              <w:rPr>
                <w:rFonts w:ascii="Aptos" w:hAnsi="Aptos"/>
                <w:b w:val="0"/>
                <w:sz w:val="17"/>
              </w:rPr>
              <w:t>98%</w:t>
            </w:r>
          </w:p>
        </w:tc>
      </w:tr>
      <w:tr>
        <w:tc>
          <w:tcPr>
            <w:tcW w:type="dxa" w:w="4464"/>
            <w:shd w:fill="F7F9FC"/>
            <w:vAlign w:val="center"/>
          </w:tcPr>
          <w:p>
            <w:pPr>
              <w:spacing w:after="0"/>
            </w:pPr>
            <w:r/>
            <w:r>
              <w:rPr>
                <w:rFonts w:ascii="Aptos" w:hAnsi="Aptos"/>
                <w:b w:val="0"/>
                <w:sz w:val="17"/>
              </w:rPr>
              <w:t>optarena.verify</w:t>
            </w:r>
          </w:p>
        </w:tc>
        <w:tc>
          <w:tcPr>
            <w:tcW w:type="dxa" w:w="5472"/>
            <w:shd w:fill="F7F9FC"/>
            <w:vAlign w:val="center"/>
          </w:tcPr>
          <w:p>
            <w:pPr>
              <w:spacing w:after="0"/>
            </w:pPr>
            <w:r/>
            <w:r>
              <w:rPr>
                <w:rFonts w:ascii="Aptos" w:hAnsi="Aptos"/>
                <w:b w:val="0"/>
                <w:sz w:val="17"/>
              </w:rPr>
              <w:t>100%</w:t>
            </w:r>
          </w:p>
        </w:tc>
      </w:tr>
      <w:tr>
        <w:tc>
          <w:tcPr>
            <w:tcW w:type="dxa" w:w="4464"/>
            <w:vAlign w:val="center"/>
          </w:tcPr>
          <w:p>
            <w:pPr>
              <w:spacing w:after="0"/>
            </w:pPr>
            <w:r/>
            <w:r>
              <w:rPr>
                <w:rFonts w:ascii="Aptos" w:hAnsi="Aptos"/>
                <w:b w:val="0"/>
                <w:sz w:val="17"/>
              </w:rPr>
              <w:t>optarena.scenario</w:t>
            </w:r>
          </w:p>
        </w:tc>
        <w:tc>
          <w:tcPr>
            <w:tcW w:type="dxa" w:w="5472"/>
            <w:vAlign w:val="center"/>
          </w:tcPr>
          <w:p>
            <w:pPr>
              <w:spacing w:after="0"/>
            </w:pPr>
            <w:r/>
            <w:r>
              <w:rPr>
                <w:rFonts w:ascii="Aptos" w:hAnsi="Aptos"/>
                <w:b w:val="0"/>
                <w:sz w:val="17"/>
              </w:rPr>
              <w:t>95%</w:t>
            </w:r>
          </w:p>
        </w:tc>
      </w:tr>
      <w:tr>
        <w:tc>
          <w:tcPr>
            <w:tcW w:type="dxa" w:w="4464"/>
            <w:shd w:fill="F7F9FC"/>
            <w:vAlign w:val="center"/>
          </w:tcPr>
          <w:p>
            <w:pPr>
              <w:spacing w:after="0"/>
            </w:pPr>
            <w:r/>
            <w:r>
              <w:rPr>
                <w:rFonts w:ascii="Aptos" w:hAnsi="Aptos"/>
                <w:b w:val="0"/>
                <w:sz w:val="17"/>
              </w:rPr>
              <w:t>optarena.pricing</w:t>
            </w:r>
          </w:p>
        </w:tc>
        <w:tc>
          <w:tcPr>
            <w:tcW w:type="dxa" w:w="5472"/>
            <w:shd w:fill="F7F9FC"/>
            <w:vAlign w:val="center"/>
          </w:tcPr>
          <w:p>
            <w:pPr>
              <w:spacing w:after="0"/>
            </w:pPr>
            <w:r/>
            <w:r>
              <w:rPr>
                <w:rFonts w:ascii="Aptos" w:hAnsi="Aptos"/>
                <w:b w:val="0"/>
                <w:sz w:val="17"/>
              </w:rPr>
              <w:t>87%</w:t>
            </w:r>
          </w:p>
        </w:tc>
      </w:tr>
      <w:tr>
        <w:tc>
          <w:tcPr>
            <w:tcW w:type="dxa" w:w="4464"/>
            <w:vAlign w:val="center"/>
          </w:tcPr>
          <w:p>
            <w:pPr>
              <w:spacing w:after="0"/>
            </w:pPr>
            <w:r/>
            <w:r>
              <w:rPr>
                <w:rFonts w:ascii="Aptos" w:hAnsi="Aptos"/>
                <w:b w:val="0"/>
                <w:sz w:val="17"/>
              </w:rPr>
              <w:t>optarena.cases</w:t>
            </w:r>
          </w:p>
        </w:tc>
        <w:tc>
          <w:tcPr>
            <w:tcW w:type="dxa" w:w="5472"/>
            <w:vAlign w:val="center"/>
          </w:tcPr>
          <w:p>
            <w:pPr>
              <w:spacing w:after="0"/>
            </w:pPr>
            <w:r/>
            <w:r>
              <w:rPr>
                <w:rFonts w:ascii="Aptos" w:hAnsi="Aptos"/>
                <w:b w:val="0"/>
                <w:sz w:val="17"/>
              </w:rPr>
              <w:t>74%</w:t>
            </w:r>
          </w:p>
        </w:tc>
      </w:tr>
      <w:tr>
        <w:tc>
          <w:tcPr>
            <w:tcW w:type="dxa" w:w="4464"/>
            <w:shd w:fill="F7F9FC"/>
            <w:vAlign w:val="center"/>
          </w:tcPr>
          <w:p>
            <w:pPr>
              <w:spacing w:after="0"/>
            </w:pPr>
            <w:r/>
            <w:r>
              <w:rPr>
                <w:rFonts w:ascii="Aptos" w:hAnsi="Aptos"/>
                <w:b w:val="0"/>
                <w:sz w:val="17"/>
              </w:rPr>
              <w:t>optarena.compare</w:t>
            </w:r>
          </w:p>
        </w:tc>
        <w:tc>
          <w:tcPr>
            <w:tcW w:type="dxa" w:w="5472"/>
            <w:shd w:fill="F7F9FC"/>
            <w:vAlign w:val="center"/>
          </w:tcPr>
          <w:p>
            <w:pPr>
              <w:spacing w:after="0"/>
            </w:pPr>
            <w:r/>
            <w:r>
              <w:rPr>
                <w:rFonts w:ascii="Aptos" w:hAnsi="Aptos"/>
                <w:b w:val="0"/>
                <w:sz w:val="17"/>
              </w:rPr>
              <w:t>66%</w:t>
            </w:r>
          </w:p>
        </w:tc>
      </w:tr>
      <w:tr>
        <w:tc>
          <w:tcPr>
            <w:tcW w:type="dxa" w:w="4464"/>
            <w:vAlign w:val="center"/>
          </w:tcPr>
          <w:p>
            <w:pPr>
              <w:spacing w:after="0"/>
            </w:pPr>
            <w:r/>
            <w:r>
              <w:rPr>
                <w:rFonts w:ascii="Aptos" w:hAnsi="Aptos"/>
                <w:b w:val="0"/>
                <w:sz w:val="17"/>
              </w:rPr>
              <w:t>optarena.drivers.cli_agents</w:t>
            </w:r>
          </w:p>
        </w:tc>
        <w:tc>
          <w:tcPr>
            <w:tcW w:type="dxa" w:w="5472"/>
            <w:vAlign w:val="center"/>
          </w:tcPr>
          <w:p>
            <w:pPr>
              <w:spacing w:after="0"/>
            </w:pPr>
            <w:r/>
            <w:r>
              <w:rPr>
                <w:rFonts w:ascii="Aptos" w:hAnsi="Aptos"/>
                <w:b w:val="0"/>
                <w:sz w:val="17"/>
              </w:rPr>
              <w:t>58%</w:t>
            </w:r>
          </w:p>
        </w:tc>
      </w:tr>
      <w:tr>
        <w:tc>
          <w:tcPr>
            <w:tcW w:type="dxa" w:w="4464"/>
            <w:shd w:fill="F7F9FC"/>
            <w:vAlign w:val="center"/>
          </w:tcPr>
          <w:p>
            <w:pPr>
              <w:spacing w:after="0"/>
            </w:pPr>
            <w:r/>
            <w:r>
              <w:rPr>
                <w:rFonts w:ascii="Aptos" w:hAnsi="Aptos"/>
                <w:b w:val="0"/>
                <w:sz w:val="17"/>
              </w:rPr>
              <w:t>optarena.drivers.aider_cli</w:t>
            </w:r>
          </w:p>
        </w:tc>
        <w:tc>
          <w:tcPr>
            <w:tcW w:type="dxa" w:w="5472"/>
            <w:shd w:fill="F7F9FC"/>
            <w:vAlign w:val="center"/>
          </w:tcPr>
          <w:p>
            <w:pPr>
              <w:spacing w:after="0"/>
            </w:pPr>
            <w:r/>
            <w:r>
              <w:rPr>
                <w:rFonts w:ascii="Aptos" w:hAnsi="Aptos"/>
                <w:b w:val="0"/>
                <w:sz w:val="17"/>
              </w:rPr>
              <w:t>47%</w:t>
            </w:r>
          </w:p>
        </w:tc>
      </w:tr>
      <w:tr>
        <w:tc>
          <w:tcPr>
            <w:tcW w:type="dxa" w:w="4464"/>
            <w:vAlign w:val="center"/>
          </w:tcPr>
          <w:p>
            <w:pPr>
              <w:spacing w:after="0"/>
            </w:pPr>
            <w:r/>
            <w:r>
              <w:rPr>
                <w:rFonts w:ascii="Aptos" w:hAnsi="Aptos"/>
                <w:b w:val="0"/>
                <w:sz w:val="17"/>
              </w:rPr>
              <w:t>optarena.runner</w:t>
            </w:r>
          </w:p>
        </w:tc>
        <w:tc>
          <w:tcPr>
            <w:tcW w:type="dxa" w:w="5472"/>
            <w:vAlign w:val="center"/>
          </w:tcPr>
          <w:p>
            <w:pPr>
              <w:spacing w:after="0"/>
            </w:pPr>
            <w:r/>
            <w:r>
              <w:rPr>
                <w:rFonts w:ascii="Aptos" w:hAnsi="Aptos"/>
                <w:b w:val="0"/>
                <w:sz w:val="17"/>
              </w:rPr>
              <w:t>37%</w:t>
            </w:r>
          </w:p>
        </w:tc>
      </w:tr>
      <w:tr>
        <w:tc>
          <w:tcPr>
            <w:tcW w:type="dxa" w:w="4464"/>
            <w:shd w:fill="F7F9FC"/>
            <w:vAlign w:val="center"/>
          </w:tcPr>
          <w:p>
            <w:pPr>
              <w:spacing w:after="0"/>
            </w:pPr>
            <w:r/>
            <w:r>
              <w:rPr>
                <w:rFonts w:ascii="Aptos" w:hAnsi="Aptos"/>
                <w:b w:val="0"/>
                <w:sz w:val="17"/>
              </w:rPr>
              <w:t>optarena.drivers.openai_chat</w:t>
            </w:r>
          </w:p>
        </w:tc>
        <w:tc>
          <w:tcPr>
            <w:tcW w:type="dxa" w:w="5472"/>
            <w:shd w:fill="F7F9FC"/>
            <w:vAlign w:val="center"/>
          </w:tcPr>
          <w:p>
            <w:pPr>
              <w:spacing w:after="0"/>
            </w:pPr>
            <w:r/>
            <w:r>
              <w:rPr>
                <w:rFonts w:ascii="Aptos" w:hAnsi="Aptos"/>
                <w:b w:val="0"/>
                <w:sz w:val="17"/>
              </w:rPr>
              <w:t>29%</w:t>
            </w:r>
          </w:p>
        </w:tc>
      </w:tr>
      <w:tr>
        <w:tc>
          <w:tcPr>
            <w:tcW w:type="dxa" w:w="4464"/>
            <w:vAlign w:val="center"/>
          </w:tcPr>
          <w:p>
            <w:pPr>
              <w:spacing w:after="0"/>
            </w:pPr>
            <w:r/>
            <w:r>
              <w:rPr>
                <w:rFonts w:ascii="Aptos" w:hAnsi="Aptos"/>
                <w:b w:val="0"/>
                <w:sz w:val="17"/>
              </w:rPr>
              <w:t>optarena.store</w:t>
            </w:r>
          </w:p>
        </w:tc>
        <w:tc>
          <w:tcPr>
            <w:tcW w:type="dxa" w:w="5472"/>
            <w:vAlign w:val="center"/>
          </w:tcPr>
          <w:p>
            <w:pPr>
              <w:spacing w:after="0"/>
            </w:pPr>
            <w:r/>
            <w:r>
              <w:rPr>
                <w:rFonts w:ascii="Aptos" w:hAnsi="Aptos"/>
                <w:b w:val="0"/>
                <w:sz w:val="17"/>
              </w:rPr>
              <w:t>29%</w:t>
            </w:r>
          </w:p>
        </w:tc>
      </w:tr>
      <w:tr>
        <w:tc>
          <w:tcPr>
            <w:tcW w:type="dxa" w:w="4464"/>
            <w:shd w:fill="F7F9FC"/>
            <w:vAlign w:val="center"/>
          </w:tcPr>
          <w:p>
            <w:pPr>
              <w:spacing w:after="0"/>
            </w:pPr>
            <w:r/>
            <w:r>
              <w:rPr>
                <w:rFonts w:ascii="Aptos" w:hAnsi="Aptos"/>
                <w:b w:val="0"/>
                <w:sz w:val="17"/>
              </w:rPr>
              <w:t>optarena.drivers.vscode_ui</w:t>
            </w:r>
          </w:p>
        </w:tc>
        <w:tc>
          <w:tcPr>
            <w:tcW w:type="dxa" w:w="5472"/>
            <w:shd w:fill="F7F9FC"/>
            <w:vAlign w:val="center"/>
          </w:tcPr>
          <w:p>
            <w:pPr>
              <w:spacing w:after="0"/>
            </w:pPr>
            <w:r/>
            <w:r>
              <w:rPr>
                <w:rFonts w:ascii="Aptos" w:hAnsi="Aptos"/>
                <w:b w:val="0"/>
                <w:sz w:val="17"/>
              </w:rPr>
              <w:t>23%</w:t>
            </w:r>
          </w:p>
        </w:tc>
      </w:tr>
      <w:tr>
        <w:tc>
          <w:tcPr>
            <w:tcW w:type="dxa" w:w="4464"/>
            <w:vAlign w:val="center"/>
          </w:tcPr>
          <w:p>
            <w:pPr>
              <w:spacing w:after="0"/>
            </w:pPr>
            <w:r/>
            <w:r>
              <w:rPr>
                <w:rFonts w:ascii="Aptos" w:hAnsi="Aptos"/>
                <w:b w:val="0"/>
                <w:sz w:val="17"/>
              </w:rPr>
              <w:t>optarena.cli</w:t>
            </w:r>
          </w:p>
        </w:tc>
        <w:tc>
          <w:tcPr>
            <w:tcW w:type="dxa" w:w="5472"/>
            <w:vAlign w:val="center"/>
          </w:tcPr>
          <w:p>
            <w:pPr>
              <w:spacing w:after="0"/>
            </w:pPr>
            <w:r/>
            <w:r>
              <w:rPr>
                <w:rFonts w:ascii="Aptos" w:hAnsi="Aptos"/>
                <w:b w:val="0"/>
                <w:sz w:val="17"/>
              </w:rPr>
              <w:t>13%</w:t>
            </w:r>
          </w:p>
        </w:tc>
      </w:tr>
      <w:tr>
        <w:tc>
          <w:tcPr>
            <w:tcW w:type="dxa" w:w="4464"/>
            <w:shd w:fill="F7F9FC"/>
            <w:vAlign w:val="center"/>
          </w:tcPr>
          <w:p>
            <w:pPr>
              <w:spacing w:after="0"/>
            </w:pPr>
            <w:r/>
            <w:r>
              <w:rPr>
                <w:rFonts w:ascii="Aptos" w:hAnsi="Aptos"/>
                <w:b w:val="0"/>
                <w:sz w:val="17"/>
              </w:rPr>
              <w:t>CrewAI + JS/dashboard</w:t>
            </w:r>
          </w:p>
        </w:tc>
        <w:tc>
          <w:tcPr>
            <w:tcW w:type="dxa" w:w="5472"/>
            <w:shd w:fill="F7F9FC"/>
            <w:vAlign w:val="center"/>
          </w:tcPr>
          <w:p>
            <w:pPr>
              <w:spacing w:after="0"/>
            </w:pPr>
            <w:r/>
            <w:r>
              <w:rPr>
                <w:rFonts w:ascii="Aptos" w:hAnsi="Aptos"/>
                <w:b w:val="0"/>
                <w:sz w:val="17"/>
              </w:rPr>
              <w:t>Not covered by this Python trace; no unit suite observed</w:t>
            </w:r>
          </w:p>
        </w:tc>
      </w:tr>
    </w:tbl>
    <w:p>
      <w:pPr>
        <w:spacing w:after="0"/>
      </w:pPr>
    </w:p>
    <w:p>
      <w:pPr>
        <w:pStyle w:val="Heading1"/>
      </w:pPr>
      <w:r>
        <w:t>5. Detailed findings</w:t>
      </w:r>
    </w:p>
    <w:p>
      <w:r>
        <w:t>Severity definitions: Critical = credible host-secret/safety compromise or invalidates a core evaluation guarantee; High = serious correctness, containment, supply-chain or release failure; Medium = material reliability/quality risk; Low = polish/governance issue. Findings are ordered by severity, not implementation effort.</w:t>
      </w:r>
    </w:p>
    <w:tbl>
      <w:tblPr>
        <w:tblStyle w:val="TableGrid"/>
        <w:tblW w:type="auto" w:w="0"/>
        <w:tblLayout w:type="fixed"/>
        <w:tblLook w:firstColumn="1" w:firstRow="1" w:lastColumn="0" w:lastRow="0" w:noHBand="0" w:noVBand="1" w:val="04A0"/>
      </w:tblPr>
      <w:tblGrid>
        <w:gridCol w:w="1512"/>
        <w:gridCol w:w="8496"/>
      </w:tblGrid>
      <w:tr>
        <w:tc>
          <w:tcPr>
            <w:tcW w:type="dxa" w:w="5040"/>
            <w:shd w:fill="9C1C1C"/>
            <w:vAlign w:val="center"/>
          </w:tcPr>
          <w:p>
            <w:pPr>
              <w:spacing w:after="0"/>
            </w:pPr>
            <w:r/>
            <w:r>
              <w:rPr>
                <w:rFonts w:ascii="Aptos" w:hAnsi="Aptos"/>
                <w:b/>
                <w:color w:val="FFFFFF"/>
                <w:sz w:val="18"/>
              </w:rPr>
              <w:t>C-01</w:t>
              <w:br/>
              <w:t>CRITICAL</w:t>
            </w:r>
          </w:p>
        </w:tc>
        <w:tc>
          <w:tcPr>
            <w:tcW w:type="dxa" w:w="5040"/>
            <w:shd w:fill="9C1C1C"/>
            <w:vAlign w:val="center"/>
          </w:tcPr>
          <w:p>
            <w:pPr>
              <w:spacing w:after="0"/>
            </w:pPr>
            <w:r/>
            <w:r>
              <w:rPr>
                <w:rFonts w:ascii="Aptos" w:hAnsi="Aptos"/>
                <w:b/>
                <w:color w:val="FFFFFF"/>
                <w:sz w:val="20"/>
              </w:rPr>
              <w:t>The UI harness leaks hidden tests to the evaluated agent</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During the final-prompt polling loop, evaluateCase() is called every three seconds while the VS Code agent remains active. evaluateCase() writes test_setup_files into that same live workspace before executing the oracle.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The flagship UI result is not a blind evaluation. The agent can read, modify, delete, or optimize directly against the grading tests. Hidden files also appear in later changed-file snapshots, contaminating file/diff metrics. The documentation's strongest integrity claim is therefore false for UI drivers.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UI agent creates the expected filename early. The next poll writes test_hidden.py. Because external reads, commands, and MCP are auto-approved, the agent reads the test, patches its solution specifically for those assertions, or edits the test to exit successfully. The run can receive a PASS that a headless driver would not.</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ui-harness/test/agent.e2e.js:353-386 calls evaluateCase() inside the active polling loop; ui-harness/src/oracle.js evaluateCase() writes test_setup_files. docs/concepts/cases-and-oracle.md:55-59 says tests are written after the model's run finishes and are never seen.</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Never write or execute hidden tests in the agent workspace. Detect agent completion using UI/trajectory state only; then freeze the workspace, copy it to a separate verifier directory/container, inject tests there, and grade once. Keep verifier files outside every agent-readable path.</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Add an adversarial fake UI agent that watches for test_* files and fails the harness if it ever observes one. Assert emitted files exclude verifier artifacts. Run the same cases through Python and UI paths and require identical oracle inputs/results.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9C1C1C"/>
            <w:vAlign w:val="center"/>
          </w:tcPr>
          <w:p>
            <w:pPr>
              <w:spacing w:after="0"/>
            </w:pPr>
            <w:r/>
            <w:r>
              <w:rPr>
                <w:rFonts w:ascii="Aptos" w:hAnsi="Aptos"/>
                <w:b/>
                <w:color w:val="FFFFFF"/>
                <w:sz w:val="18"/>
              </w:rPr>
              <w:t>C-02</w:t>
              <w:br/>
              <w:t>CRITICAL</w:t>
            </w:r>
          </w:p>
        </w:tc>
        <w:tc>
          <w:tcPr>
            <w:tcW w:type="dxa" w:w="5040"/>
            <w:shd w:fill="9C1C1C"/>
            <w:vAlign w:val="center"/>
          </w:tcPr>
          <w:p>
            <w:pPr>
              <w:spacing w:after="0"/>
            </w:pPr>
            <w:r/>
            <w:r>
              <w:rPr>
                <w:rFonts w:ascii="Aptos" w:hAnsi="Aptos"/>
                <w:b/>
                <w:color w:val="FFFFFF"/>
                <w:sz w:val="20"/>
              </w:rPr>
              <w:t>Docker absence silently turns untrusted verification into host code execution</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When Docker is unavailable, disabled, or an image is missing, case-defined shell commands and model-generated programs execute directly on the developer host. This is the default fallback rather than a deliberate unsafe mode.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A malicious or simply unsafe custom case/model output can read or alter user files, access credentials, use the network, install persistence, consume disk/CPU, or attack other local services. A warning is not an adequate control for arbitrary code execution.</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downloaded case pack sets check_command to a destructive shell command, or generated code imported by a hidden test reads ~/.ssh and posts it to a remote endpoint. On a laptop without Docker, OptArena executes it with the user's privileges and inherited environment.</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optarena/cases.py:430-444 documents the fallback; cases.py:510-526 uses subprocess.run(..., shell=True) on the host. ui-harness/src/oracle.js implements the same fallback. The initial test run also demonstrated host dependence: 5/75 tests failed because python was absent even though python3 existed.</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Fail closed by default. Require Docker/a hardened sandbox for any check_command and add an explicit --allow-unsafe-host-exec confirmation for trusted local development only. Use a minimal environment, process group, filesystem quota, and network policy even in explicit host mode.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CI must assert that Docker-unavailable runs refuse behavioral execution with a clear non-zero configuration error. Add malicious fixture cases proving host files and network are unreachable in the supported default path.</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9C1C1C"/>
            <w:vAlign w:val="center"/>
          </w:tcPr>
          <w:p>
            <w:pPr>
              <w:spacing w:after="0"/>
            </w:pPr>
            <w:r/>
            <w:r>
              <w:rPr>
                <w:rFonts w:ascii="Aptos" w:hAnsi="Aptos"/>
                <w:b/>
                <w:color w:val="FFFFFF"/>
                <w:sz w:val="18"/>
              </w:rPr>
              <w:t>C-03</w:t>
              <w:br/>
              <w:t>CRITICAL</w:t>
            </w:r>
          </w:p>
        </w:tc>
        <w:tc>
          <w:tcPr>
            <w:tcW w:type="dxa" w:w="5040"/>
            <w:shd w:fill="9C1C1C"/>
            <w:vAlign w:val="center"/>
          </w:tcPr>
          <w:p>
            <w:pPr>
              <w:spacing w:after="0"/>
            </w:pPr>
            <w:r/>
            <w:r>
              <w:rPr>
                <w:rFonts w:ascii="Aptos" w:hAnsi="Aptos"/>
                <w:b/>
                <w:color w:val="FFFFFF"/>
                <w:sz w:val="20"/>
              </w:rPr>
              <w:t>Evaluated agents receive excessive host privileges and inherited secrets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CLI agents run on the host with almost the complete parent environment. Claude uses --dangerously-skip-permissions; Codex uses --full-auto; UI descriptors enable external reads/writes, all commands, and MCP. Agent execution itself is not contained by the verifier Docker sandbox.</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Prompt injection in a task, starter repository, dependency output, or model response can make the evaluated agent read credentials or unrelated files, modify the host, call external tools, or exfiltrate data to the configured backend. The project evaluates high-autonomy software while granting it a broader trust boundary than needed.</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setup README says to inspect environment variables and upload them to diagnose the task. The agent inherits AWS/GitHub/cloud tokens and is permitted to execute commands or use MCP. The task succeeds while secrets are exfiltrated.</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optarena/drivers/cli_agents.py:177-190 copies os.environ; descriptors invoke dangerous/full-auto modes. ui-harness/src/extensions.js:28-35 permits external file access, executeAllCommands and MCP; Roo flags at 101-109 enable execution/browser/MCP.</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Run the agent and verifier inside separate ephemeral sandboxes. Pass an allowlisted environment containing only PATH, locale, HOME pointing to an empty profile, and the one provider credential needed. Disable external reads/writes, browser, MCP, and network unless a case explicitly declares and tests them. Use per-driver least-privilege policies.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Add security canaries (fake HOME secret, cloud env tokens, blocked network endpoint, forbidden parent file) and assert every driver cannot access them. Record the effective permission policy in each run.</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9C1C1C"/>
            <w:vAlign w:val="center"/>
          </w:tcPr>
          <w:p>
            <w:pPr>
              <w:spacing w:after="0"/>
            </w:pPr>
            <w:r/>
            <w:r>
              <w:rPr>
                <w:rFonts w:ascii="Aptos" w:hAnsi="Aptos"/>
                <w:b/>
                <w:color w:val="FFFFFF"/>
                <w:sz w:val="18"/>
              </w:rPr>
              <w:t>C-04</w:t>
              <w:br/>
              <w:t>CRITICAL</w:t>
            </w:r>
          </w:p>
        </w:tc>
        <w:tc>
          <w:tcPr>
            <w:tcW w:type="dxa" w:w="5040"/>
            <w:shd w:fill="9C1C1C"/>
            <w:vAlign w:val="center"/>
          </w:tcPr>
          <w:p>
            <w:pPr>
              <w:spacing w:after="0"/>
            </w:pPr>
            <w:r/>
            <w:r>
              <w:rPr>
                <w:rFonts w:ascii="Aptos" w:hAnsi="Aptos"/>
                <w:b/>
                <w:color w:val="FFFFFF"/>
                <w:sz w:val="20"/>
              </w:rPr>
              <w:t>API keys are saved in plaintext and served with the repository</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Scenario.to_dict() serializes vars(backend), including api_key, into every run. save_run() writes it to results/runs. optarena serve exposes the entire repository root through SimpleHTTPRequestHandler, not only dashboard/results assets.</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Provider keys can remain indefinitely in JSON, backups, support bundles, accidental commits, or browser-accessible local endpoints. Serving the repo also exposes source, scenarios, .git content reachable under the root, and any other files placed there.</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user runs with --api-key sk-live-..., opens the dashboard, and later shares results or leaves the local server running on a multi-user machine. Another local process/user reads /results/runs/&lt;id&gt;.json and obtains the key.</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optarena/scenario.py:38 and 75-82; optarena/store.py:30-35; optarena/cli.py:161-166; docs/concepts/results-and-dashboard.md:44 explicitly says the server is rooted at the repo.</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Never persist credentials. Split Backend runtime secrets from serializable metadata and redact api_key in all records/logs. Read keys from environment/keychain/secret reference. Serve a dedicated temporary document root containing only dashboard and a redacted results view, with no directory listing and restrictive headers.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A test with a unique canary secret must confirm the string is absent from all result/index/comparison files, stdout/stderr, dashboard responses, and exception messages.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9C1C1C"/>
            <w:vAlign w:val="center"/>
          </w:tcPr>
          <w:p>
            <w:pPr>
              <w:spacing w:after="0"/>
            </w:pPr>
            <w:r/>
            <w:r>
              <w:rPr>
                <w:rFonts w:ascii="Aptos" w:hAnsi="Aptos"/>
                <w:b/>
                <w:color w:val="FFFFFF"/>
                <w:sz w:val="18"/>
              </w:rPr>
              <w:t>C-05</w:t>
              <w:br/>
              <w:t>CRITICAL</w:t>
            </w:r>
          </w:p>
        </w:tc>
        <w:tc>
          <w:tcPr>
            <w:tcW w:type="dxa" w:w="5040"/>
            <w:shd w:fill="9C1C1C"/>
            <w:vAlign w:val="center"/>
          </w:tcPr>
          <w:p>
            <w:pPr>
              <w:spacing w:after="0"/>
            </w:pPr>
            <w:r/>
            <w:r>
              <w:rPr>
                <w:rFonts w:ascii="Aptos" w:hAnsi="Aptos"/>
                <w:b/>
                <w:color w:val="FFFFFF"/>
                <w:sz w:val="20"/>
              </w:rPr>
              <w:t>The open corpus and permissive filesystem let agents retrieve answers and sabotage grading</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Cases package prompts, hidden tests, reference solutions, and broken solutions together. The wheel contains the JSON corpus, and agents can often read outside the scratch workspace. Verifier containers mount the whole run root read-write.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An adversarial or benchmark-aware agent can locate its case by name, copy reference_solution, inspect hidden tests, or modify other cases. Exit-code-only verification can also be gamed by generated code that terminates the test process successfully or tampers with verifier files. Results are useful for trusted regression testing, but not tamper-resistant benchmarking.</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The agent searches the installed optarena package for the case name and copies the embedded reference solution. Alternatively, generated code imported by a Python test calls os._exit(0), or a process in the shared container edits a later trial's workspace.</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pyproject.toml packages cases/*.json; 396 cases include reference_solution and 493 broken variants. DockerSandbox mounts the entire run root at /workspace. UI/CLI permission findings make package/source discovery feasible.</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State the trust model clearly: public cases are regression fixtures, not secret benchmarks. For stronger claims, support private/versioned case packs whose grader payload is delivered only to a separate verifier, strip solutions from runtime distributions, mount only one frozen submission, and run an adversarial supervisor outside the code-under-test process.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Create cheating agents that search site-packages/repo, inspect sibling workspaces, rewrite tests, call exit(0), and forge output. The hardened mode must reject or contain each attempt and retain independent completion evidence.</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H-01</w:t>
              <w:br/>
              <w:t>HIGH</w:t>
            </w:r>
          </w:p>
        </w:tc>
        <w:tc>
          <w:tcPr>
            <w:tcW w:type="dxa" w:w="5040"/>
            <w:shd w:fill="D15B14"/>
            <w:vAlign w:val="center"/>
          </w:tcPr>
          <w:p>
            <w:pPr>
              <w:spacing w:after="0"/>
            </w:pPr>
            <w:r/>
            <w:r>
              <w:rPr>
                <w:rFonts w:ascii="Aptos" w:hAnsi="Aptos"/>
                <w:b/>
                <w:color w:val="FFFFFF"/>
                <w:sz w:val="20"/>
              </w:rPr>
              <w:t>Custom case paths are not constrained to the workspace</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setup_files, test_setup_files, reference/broken file paths, and setup_repo names are joined to a root without resolving and validating containment. The JavaScript mirror has the same issue.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A malicious case pack can overwrite arbitrary files writable by the user before the agent even starts. setup_repo can traverse outside repos/. Symlinks add another containment bypass surface.</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case contains {"../../.zshrc": "malicious content"} or setup_repo: "../../some-directory". prepare_workspace writes/copies outside the scratch root.</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optarena/cases.py:661-668 writes root / rel; copy_setup_repo at 681-696 uses REPOS_DIR / repo_name. ui-harness/src/oracle.js writeSetupFiles uses path.join(root, rel) without containment checks. The built-in 2,364 path fields were statically safe, but custom inputs are not validated.</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Normalize with resolve(), reject absolute paths, '..', device paths and symlink escapes, then assert target.is_relative_to(root.resolve()). Restrict setup_repo to an allowlisted direct child name. Apply one shared implementation/spec to Python and JS.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Add traversal, absolute path, Windows drive/UNC, encoded separator, and symlink test cases for every file-bearing field.</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H-02</w:t>
              <w:br/>
              <w:t>HIGH</w:t>
            </w:r>
          </w:p>
        </w:tc>
        <w:tc>
          <w:tcPr>
            <w:tcW w:type="dxa" w:w="5040"/>
            <w:shd w:fill="D15B14"/>
            <w:vAlign w:val="center"/>
          </w:tcPr>
          <w:p>
            <w:pPr>
              <w:spacing w:after="0"/>
            </w:pPr>
            <w:r/>
            <w:r>
              <w:rPr>
                <w:rFonts w:ascii="Aptos" w:hAnsi="Aptos"/>
                <w:b/>
                <w:color w:val="FFFFFF"/>
                <w:sz w:val="20"/>
              </w:rPr>
              <w:t>Parallel cases share containers, processes, ports, and a kill-all cleanup</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One long-lived container is reused per image while parallel-safe drivers can fan cases out concurrently. All cases share a process/network namespace and the entire run mount. On timeout, reap() executes kill -9 -1 inside that shared container.</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A timeout in one case can kill unrelated concurrently-running tests. Fixed ports collide, shared caches/state contaminate results, and one case can read or alter sibling workspaces. This violates the claimed case isolation and can produce flaky false passes/fails.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Two Python cases run with --parallel 4. One times out and reaps the container; three healthy check commands are killed. A malicious case writes into /workspace/&lt;other-case&gt; before it is graded.</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optarena/runner.py:202-216 creates one sandbox per image then ThreadPoolExecutor work; cases.py DockerSandbox.reap() uses kill -9 -1. Docs already acknowledge shared network namespaces at cases-and-oracle.md:168-177, but not parallel kill/interference.</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Use one ephemeral verifier container per case/trial or a worker pool with exclusive container leases. Mount only that case directory. Never issue container-wide kill in a shared worker. If performance requires reuse, reset snapshots and prohibit concurrent use.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Integration tests must run simultaneous fixed-port servers, one intentional timeout, and sibling-file canaries and prove no cross-case effects.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H-03</w:t>
              <w:br/>
              <w:t>HIGH</w:t>
            </w:r>
          </w:p>
        </w:tc>
        <w:tc>
          <w:tcPr>
            <w:tcW w:type="dxa" w:w="5040"/>
            <w:shd w:fill="D15B14"/>
            <w:vAlign w:val="center"/>
          </w:tcPr>
          <w:p>
            <w:pPr>
              <w:spacing w:after="0"/>
            </w:pPr>
            <w:r/>
            <w:r>
              <w:rPr>
                <w:rFonts w:ascii="Aptos" w:hAnsi="Aptos"/>
                <w:b/>
                <w:color w:val="FFFFFF"/>
                <w:sz w:val="20"/>
              </w:rPr>
              <w:t>Automatic mutable image execution undermines supply-chain security and reproducibility</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Missing images are automatically pulled from :latest, retagged locally, and executed. Published images and most Dockerfile dependencies/base tags are mutable or unpinned. GitHub Actions use movable version tags rather than full commit SHAs; images have no visible digest lock, signature verification, SBOM, or provenance gate.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The same OptArena commit can produce different results over time. A compromised registry/action/dependency can alter mounted workspaces or attack the Docker host. Benchmark evidence cannot be reproduced without recording exact image and toolchain identities.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:latest tag is replaced or a transitive npm/pip package changes. A later run silently pulls the new image, changing oracle behavior. A compromised build action can publish malicious verifier images with package-write permission.</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optarena/cases.py GHCR_PREFIX/ensure_image; .github/workflows/publish-images.yml:53-65 pushes only :latest; Dockerfiles use tags such as debian:bookworm-slim/rust:1-bookworm and unversioned npm/pip installs; workflows use actions/checkout@v4 and login-action@v3.</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Publish content-addressed images per release/commit, lock dependencies, verify digests/signatures before run, record digests/SBOM/tool versions in results, and pin Actions to full SHAs. Keep latest only as a human alias, never an evaluation input.</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A reproducibility test must rerun a saved manifest from only recorded digests. CI should fail on unpinned actions/images or unsigned artifacts.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H-04</w:t>
              <w:br/>
              <w:t>HIGH</w:t>
            </w:r>
          </w:p>
        </w:tc>
        <w:tc>
          <w:tcPr>
            <w:tcW w:type="dxa" w:w="5040"/>
            <w:shd w:fill="D15B14"/>
            <w:vAlign w:val="center"/>
          </w:tcPr>
          <w:p>
            <w:pPr>
              <w:spacing w:after="0"/>
            </w:pPr>
            <w:r/>
            <w:r>
              <w:rPr>
                <w:rFonts w:ascii="Aptos" w:hAnsi="Aptos"/>
                <w:b/>
                <w:color w:val="FFFFFF"/>
                <w:sz w:val="20"/>
              </w:rPr>
              <w:t>The built wheel omits required runtime assets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The wheel includes Python modules and 500 case JSON files but not dashboard/, docker/, repos/, ui-harness/, scenarios, or documentation. Runtime paths assume those directories sit beside the package.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A normal non-editable installation cannot serve the dashboard, build verifier images, run the 14 setup_repo cases, or use UI drivers. Results are written near site-packages, which may be unwritable. Installation claims work only from an editable source checkout.</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user installs the wheel, runs an L3 case, and gets setup_repo not found. optarena serve points at site-packages and lacks dashboard assets; optarena docker build cannot find Dockerfiles.</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pyproject.toml:25-30 only packages optarena* and cases/*.json. The successfully built 0.1.0 wheel was inspected and lacked all external asset directories.</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Choose and document a distribution model. Either package assets under optarena/resources with importlib.resources and use a platform user-data directory, or explicitly require/source-checkout installation and prevent wheel publication. Add an installed-wheel smoke suite.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Create a clean venv from the built wheel and run list cases, init, a setup_repo case, serve asset checks, dockerfile resolution, and every driver preflight.</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H-05</w:t>
              <w:br/>
              <w:t>HIGH</w:t>
            </w:r>
          </w:p>
        </w:tc>
        <w:tc>
          <w:tcPr>
            <w:tcW w:type="dxa" w:w="5040"/>
            <w:shd w:fill="D15B14"/>
            <w:vAlign w:val="center"/>
          </w:tcPr>
          <w:p>
            <w:pPr>
              <w:spacing w:after="0"/>
            </w:pPr>
            <w:r/>
            <w:r>
              <w:rPr>
                <w:rFonts w:ascii="Aptos" w:hAnsi="Aptos"/>
                <w:b/>
                <w:color w:val="FFFFFF"/>
                <w:sz w:val="20"/>
              </w:rPr>
              <w:t>--trials reports only the last trial's cost/token telemetry</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_merge_trials() averages duration and records pass counts, but copies result.extra from the last trial only. Token, cost, turn, stderr, and other telemetry from earlier trials disappear.</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Three-trial evaluations can under-report spend and tokens by roughly 3x. Cost comparisons and budget decisions become misleading exactly when users request more reliable stochastic measurement.</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Trials cost $0.20 each. The merged case shows $0.20 instead of $0.60, so a candidate appears cheaper than a one-trial baseline or passes a budget gate incorrectly.</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optarena/runner.py:74-89 sets merged.extra = dict(results[-1].extra). Existing trial tests validate majority behavior but not telemetry aggregation.</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Define metric semantics explicitly: sum billable tokens/cost/turns across trials; retain per-trial metrics; use mean/median for latency and files as appropriate. Never infer totals from one sample.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Add three trials with distinct token/cost values and assert totals, means and per-trial arrays are correct in run, comparison, regression and dashboard views.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H-06</w:t>
              <w:br/>
              <w:t>HIGH</w:t>
            </w:r>
          </w:p>
        </w:tc>
        <w:tc>
          <w:tcPr>
            <w:tcW w:type="dxa" w:w="5040"/>
            <w:shd w:fill="D15B14"/>
            <w:vAlign w:val="center"/>
          </w:tcPr>
          <w:p>
            <w:pPr>
              <w:spacing w:after="0"/>
            </w:pPr>
            <w:r/>
            <w:r>
              <w:rPr>
                <w:rFonts w:ascii="Aptos" w:hAnsi="Aptos"/>
                <w:b/>
                <w:color w:val="FFFFFF"/>
                <w:sz w:val="20"/>
              </w:rPr>
              <w:t>Empty filters produce a successful zero-case run</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Language/framework filters can yield cases=[], which run_scenario accepts. aggregate returns zero failures and cmd_run exits 0.</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Misspelled filters or stale metadata can create a green CI gate that tested nothing—the most dangerous form of false confidence.</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optarena run ... --language pythno prints 0/0 passed and returns success. A release pipeline treats it as a valid regression gate.</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runner.py:164 loads cases without a non-empty guard; cli.py:113 returns success when failed == 0. A unit test intentionally confirms an empty name list means no cases, but no command-level test rejects it.</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Fail with exit 2 when the resolved case set is empty unless --allow-empty is explicitly supplied. Print filter criteria and available values.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CLI tests for misspelled language/framework/case directories must assert non-zero and no run artifact.</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H-07</w:t>
              <w:br/>
              <w:t>HIGH</w:t>
            </w:r>
          </w:p>
        </w:tc>
        <w:tc>
          <w:tcPr>
            <w:tcW w:type="dxa" w:w="5040"/>
            <w:shd w:fill="D15B14"/>
            <w:vAlign w:val="center"/>
          </w:tcPr>
          <w:p>
            <w:pPr>
              <w:spacing w:after="0"/>
            </w:pPr>
            <w:r/>
            <w:r>
              <w:rPr>
                <w:rFonts w:ascii="Aptos" w:hAnsi="Aptos"/>
                <w:b/>
                <w:color w:val="FFFFFF"/>
                <w:sz w:val="20"/>
              </w:rPr>
              <w:t>Missing and unknown cost data is presented as free and can win comparisons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Unknown models return 0.0; aggregate converts all-zero cost to None; _cheaper substitutes missing values with 0; the dashboard labels absent tokens as 'local backend' and absent costs as 'free'. is_local_backend uses substring matching rather than parsing the hostname.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A remote or uninstrumented agent can be declared cheaper/free without evidence. URLs such as localhost.attacker.example are misclassified as local. Product decisions based on cost are invalid.</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Run A reports $2.00; Run B has no telemetry. compare calls B cheaper at $0.00. A paid unknown model is shown as free. A remote hostname containing 'localhost' bypasses cost estimation.</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optarena/pricing.py:46-94; compare.py _cheaper; dashboard/index.html cost/token tiles; docs explicitly say unknown models are free.</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Use tri-state provenance: known priced, known zero/local, unknown/unreported. Parse URL hostname with urllib.parse. Compare cost only when both sides are known and compatible; otherwise display 'unknown'. Record pricing source/version/date.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Tests must cover one-sided missing telemetry, unknown remote models, localhost lookalike domains, IPv6, zero-cost known providers and dashboard parity.</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H-08</w:t>
              <w:br/>
              <w:t>HIGH</w:t>
            </w:r>
          </w:p>
        </w:tc>
        <w:tc>
          <w:tcPr>
            <w:tcW w:type="dxa" w:w="5040"/>
            <w:shd w:fill="D15B14"/>
            <w:vAlign w:val="center"/>
          </w:tcPr>
          <w:p>
            <w:pPr>
              <w:spacing w:after="0"/>
            </w:pPr>
            <w:r/>
            <w:r>
              <w:rPr>
                <w:rFonts w:ascii="Aptos" w:hAnsi="Aptos"/>
                <w:b/>
                <w:color w:val="FFFFFF"/>
                <w:sz w:val="20"/>
              </w:rPr>
              <w:t>UI drivers ignore the configured API key and can form invalid OpenAI URLs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VSCodeUIDriver does not pass Backend.api_key into the harness. Cline/Roo descriptors hardcode 'optarena' and append /v1 directly, unlike Backend.openai_base normalization.</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Remote OpenAI-compatible endpoints requiring credentials fail for the most differentiated UI feature. Base URLs already ending in /v1 become /v1/v1. Results can be misdiagnosed as agent quality failures.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scenario uses https://provider.example/v1 and a real key. The UI extension receives https://provider.example/v1/v1 and key 'optarena', while the baseline driver works—an invalid A/B comparison.</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optarena/drivers/vscode_ui.py environment omits API_KEY; ui-harness/src/extensions.js:61-66 and 94-96 hardcode the key and append /v1.</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Pass the secret only through a protected runtime channel, normalize the endpoint once, and seed each descriptor from the same Backend contract. Redact immediately after launch and never store it in VS Code state longer than the ephemeral profile.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Use a fake authenticated /v1 server and test URL variants with/without trailing /v1 for every UI descriptor.</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H-09</w:t>
              <w:br/>
              <w:t>HIGH</w:t>
            </w:r>
          </w:p>
        </w:tc>
        <w:tc>
          <w:tcPr>
            <w:tcW w:type="dxa" w:w="5040"/>
            <w:shd w:fill="D15B14"/>
            <w:vAlign w:val="center"/>
          </w:tcPr>
          <w:p>
            <w:pPr>
              <w:spacing w:after="0"/>
            </w:pPr>
            <w:r/>
            <w:r>
              <w:rPr>
                <w:rFonts w:ascii="Aptos" w:hAnsi="Aptos"/>
                <w:b/>
                <w:color w:val="FFFFFF"/>
                <w:sz w:val="20"/>
              </w:rPr>
              <w:t>The Python and JavaScript oracles are not behaviorally identical</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Python snapshots content with SHA-1; JavaScript still uses size:mtime. JavaScript omits Python's diff statistics and failure classification. Duplicated implementations are drifting despite documentation saying they are identical.</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Same-size rapid edits can be missed by UI runs but detected by CLI runs. Metrics differ by driver, making cross-driver comparisons inconsistent.</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An agent replaces 'return a-b' with same-length 'return a+b' within a coarse timestamp tick. Python sees the hash change; JavaScript may report no changed file and fail.</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optarena/cases.py snapshot uses SHA-1; ui-harness/src/oracle.js:15-49 uses size:mtimeMs. docs/concepts/cases-and-oracle.md:71-75 claims identical implementation.</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Make one oracle authoritative. Prefer calling the Python verifier from UI after the agent finishes, or publish a versioned conformance spec and generated fixtures used by both languages.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Run a cross-language golden suite covering globs, Unicode, regex, same-size rewrites, symlinks, missing files, timeouts and error classification.</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H-10</w:t>
              <w:br/>
              <w:t>HIGH</w:t>
            </w:r>
          </w:p>
        </w:tc>
        <w:tc>
          <w:tcPr>
            <w:tcW w:type="dxa" w:w="5040"/>
            <w:shd w:fill="D15B14"/>
            <w:vAlign w:val="center"/>
          </w:tcPr>
          <w:p>
            <w:pPr>
              <w:spacing w:after="0"/>
            </w:pPr>
            <w:r/>
            <w:r>
              <w:rPr>
                <w:rFonts w:ascii="Aptos" w:hAnsi="Aptos"/>
                <w:b/>
                <w:color w:val="FFFFFF"/>
                <w:sz w:val="20"/>
              </w:rPr>
              <w:t>Corpus self-verification coverage is incomplete despite broad claims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All 500 cases have check_command and test_setup_files, which is strong. However 104 lack reference_solution and 42 have no declared or implicit verification variants, so verify-corpus skips them. Metadata also leaves 7 legacy cases without language and only difficulties 1-3 despite a documented 1-5 scale.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Oracle regressions in skipped cases can enter unnoticed. 'Every case' language in README/CI comments can overstate automated assurance.</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verifier change makes create_factorial always pass. Because it has no reference/broken variant and is one of the skipped cases, the corpus CI gate does not detect it.</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Static audit: 500 unique cases; 500 check commands; 500 test setup payloads; 396 references; 493 explicit broken variants; 1,154 total variants; 42 skipped cases. status.md accurately records 396 references, but higher-level prose is broader.</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Require at least one passing reference and one failing variant for every case; make skip count non-zero fail CI after migration. Validate metadata enums/ranges and publish a generated corpus manifest.</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CI reports exact case/variant/skipped counts and fails if coverage decreases. Mutation score and per-track coverage should be versioned release evidence.</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H-11</w:t>
              <w:br/>
              <w:t>HIGH</w:t>
            </w:r>
          </w:p>
        </w:tc>
        <w:tc>
          <w:tcPr>
            <w:tcW w:type="dxa" w:w="5040"/>
            <w:shd w:fill="D15B14"/>
            <w:vAlign w:val="center"/>
          </w:tcPr>
          <w:p>
            <w:pPr>
              <w:spacing w:after="0"/>
            </w:pPr>
            <w:r/>
            <w:r>
              <w:rPr>
                <w:rFonts w:ascii="Aptos" w:hAnsi="Aptos"/>
                <w:b/>
                <w:color w:val="FFFFFF"/>
                <w:sz w:val="20"/>
              </w:rPr>
              <w:t>Timeouts do not reliably terminate agent process trees and temp workspaces persist</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subprocess.run timeout kills the direct child, not necessarily descendants. Agents/tests may leave servers or helpers. Python-created run/verify temp directories are never removed when workspace_root is omitted.</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Orphan processes can retain ports, CPU, credentials, or keep editing files after timeout; repeated runs leak generated proprietary code and consume disk.</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CLI agent launches a background server then times out. The child survives and affects later cases. Sensitive generated source remains indefinitely under /tmp and is readable by local processes permitted by OS policy.</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cli_agents.py/aider_cli.py use subprocess.run(timeout=...) without process groups; runner.py:184 and verify.py create mkdtemp roots without cleanup.</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Launch each agent in its own process group/job object and kill the full tree on timeout/cancel. Use TemporaryDirectory with a --keep-workspace debugging option, restrictive permissions, and cleanup in a top-level finally.</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Tests spawn grandchildren and background listeners, trigger timeout, and assert no process/port/files remain.</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D15B14"/>
            <w:vAlign w:val="center"/>
          </w:tcPr>
          <w:p>
            <w:pPr>
              <w:spacing w:after="0"/>
            </w:pPr>
            <w:r/>
            <w:r>
              <w:rPr>
                <w:rFonts w:ascii="Aptos" w:hAnsi="Aptos"/>
                <w:b/>
                <w:color w:val="FFFFFF"/>
                <w:sz w:val="18"/>
              </w:rPr>
              <w:t>H-12</w:t>
              <w:br/>
              <w:t>HIGH</w:t>
            </w:r>
          </w:p>
        </w:tc>
        <w:tc>
          <w:tcPr>
            <w:tcW w:type="dxa" w:w="5040"/>
            <w:shd w:fill="D15B14"/>
            <w:vAlign w:val="center"/>
          </w:tcPr>
          <w:p>
            <w:pPr>
              <w:spacing w:after="0"/>
            </w:pPr>
            <w:r/>
            <w:r>
              <w:rPr>
                <w:rFonts w:ascii="Aptos" w:hAnsi="Aptos"/>
                <w:b/>
                <w:color w:val="FFFFFF"/>
                <w:sz w:val="20"/>
              </w:rPr>
              <w:t>The docs dependency tree contains a high-severity build-time advisory</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npm ci reported 21 advisories (20 moderate, 1 high). The high issue is serialize-javascript &lt;=7.0.4, reachable through Docusaurus bundler copy/css minimizer plugins; advisories include RCE and CPU exhaustion conditions.</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The generated site is static, so runtime visitor exposure is lower, but documentation builds and contributor/CI machines process content through a vulnerable toolchain. There is no docs CI or audit gate.</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Untrusted or compromised content/dependency behavior reaches the vulnerable serialization path during a privileged docs build, or crafted input causes build resource exhaustion.</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npm audit --omit=dev on commit 5cb2127; GHSA-5c6j-r48x-rmvq and GHSA-qj8w-gfj5-8c6v. Production Docusaurus build itself succeeded.</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Upgrade/override to patched serialize-javascript-compatible Docusaurus dependencies, validate the actual resolved tree, add Dependabot/Renovate and npm audit gates, and run docs builds in a minimal unprivileged CI environment.</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npm audit --omit=dev must have no high/critical advisories and the production build/link checker must pass.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M-01</w:t>
              <w:br/>
              <w:t>MEDIUM</w:t>
            </w:r>
          </w:p>
        </w:tc>
        <w:tc>
          <w:tcPr>
            <w:tcW w:type="dxa" w:w="5040"/>
            <w:shd w:fill="B48800"/>
            <w:vAlign w:val="center"/>
          </w:tcPr>
          <w:p>
            <w:pPr>
              <w:spacing w:after="0"/>
            </w:pPr>
            <w:r/>
            <w:r>
              <w:rPr>
                <w:rFonts w:ascii="Aptos" w:hAnsi="Aptos"/>
                <w:b/>
                <w:color w:val="FFFFFF"/>
                <w:sz w:val="20"/>
              </w:rPr>
              <w:t>Scenario and case input schemas are not validated</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JSON is loaded into dictionaries/dataclasses with little validation. Types, required keys, enum values, timeout bounds, command length, file count/size, and unknown keys are not checked.</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Malformed custom packs fail deep in an expensive run, create confusing errors, or allocate excessive resources. Security controls cannot reason about undeclared capabilities.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case has a negative/huge timeout, non-string file content, duplicate case name, invalid regex, or thousands of large setup files. It crashes or exhausts resources after paid agent work.</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load_cases() directly json.loads files; Scenario.from_dict() constructs Backend(**dict); metadata is expressly free-form. No JSON Schema is present.</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Publish versioned JSON Schemas, validate before any driver/backend call, enforce bounded sizes/timeouts and unique names, reject unknown capability fields, and provide optarena validate.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Property/fuzz tests over malformed JSON and boundary values; validation errors must include file and JSON path and perform no external calls.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M-02</w:t>
              <w:br/>
              <w:t>MEDIUM</w:t>
            </w:r>
          </w:p>
        </w:tc>
        <w:tc>
          <w:tcPr>
            <w:tcW w:type="dxa" w:w="5040"/>
            <w:shd w:fill="B48800"/>
            <w:vAlign w:val="center"/>
          </w:tcPr>
          <w:p>
            <w:pPr>
              <w:spacing w:after="0"/>
            </w:pPr>
            <w:r/>
            <w:r>
              <w:rPr>
                <w:rFonts w:ascii="Aptos" w:hAnsi="Aptos"/>
                <w:b/>
                <w:color w:val="FFFFFF"/>
                <w:sz w:val="20"/>
              </w:rPr>
              <w:t>A non-zero agent process can still be graded PASS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CLI drivers append stderr when the agent exits non-zero but do not set result.error. If partial files satisfy the oracle, result.passed becomes true.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Infrastructure crashes, auth errors, or tool failures can be hidden by stale/partial output, reducing operational reliability evidence.</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An agent writes a correct file, then crashes or fails to send its final response. OptArena reports PASS and does not count an error.</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optarena/drivers/cli_agents.py:196-207 and aider_cli.py equivalent collect stderr only; passed requires result.error is None and no oracle failures.</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Record process exit status explicitly and define policy: default infrastructure error even when the artifact passes, with separate artifact_pass and execution_ok fields. Allow a documented partial-success mode if desired.</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Fake agents that exit 1 before/after writing valid files must produce deterministic status and regression behavior.</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M-03</w:t>
              <w:br/>
              <w:t>MEDIUM</w:t>
            </w:r>
          </w:p>
        </w:tc>
        <w:tc>
          <w:tcPr>
            <w:tcW w:type="dxa" w:w="5040"/>
            <w:shd w:fill="B48800"/>
            <w:vAlign w:val="center"/>
          </w:tcPr>
          <w:p>
            <w:pPr>
              <w:spacing w:after="0"/>
            </w:pPr>
            <w:r/>
            <w:r>
              <w:rPr>
                <w:rFonts w:ascii="Aptos" w:hAnsi="Aptos"/>
                <w:b/>
                <w:color w:val="FFFFFF"/>
                <w:sz w:val="20"/>
              </w:rPr>
              <w:t>Comparison validity is not enforced</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Runs with different case sets, trials, oracle/image versions, or fixed-backend semantics can be compared without warnings. Aggregate pass rates and 'faster/cheaper' verdicts are still produced.</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Users may attribute differences to a model/tool when the case mix or evaluation environment changed. Fixed-provider drivers can be mislabeled by scenario backend settings.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Run A uses 500 cases; Run B uses 20 easy Python cases. B appears more accurate/faster. Or two Codex runs with different scenario model names actually use the same logged-in provider.</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compare_runs() trusts summaries; case_deltas unions names; registry metadata is displayed but not enforced. No evaluation-manifest compatibility hash exists.</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Create a manifest hash over case versions, oracle version, images, trials, driver/provider identity and policy. Strict comparison should require compatible manifests; otherwise show 'non-equivalent' and suppress verdicts unless --force.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Tests for mismatched case sets/provider identity/trial counts must warn or fail and never emit an unqualified winner.</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M-04</w:t>
              <w:br/>
              <w:t>MEDIUM</w:t>
            </w:r>
          </w:p>
        </w:tc>
        <w:tc>
          <w:tcPr>
            <w:tcW w:type="dxa" w:w="5040"/>
            <w:shd w:fill="B48800"/>
            <w:vAlign w:val="center"/>
          </w:tcPr>
          <w:p>
            <w:pPr>
              <w:spacing w:after="0"/>
            </w:pPr>
            <w:r/>
            <w:r>
              <w:rPr>
                <w:rFonts w:ascii="Aptos" w:hAnsi="Aptos"/>
                <w:b/>
                <w:color w:val="FFFFFF"/>
                <w:sz w:val="20"/>
              </w:rPr>
              <w:t>Run storage is collision-prone and tied to the installation directory</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run_id uses second precision plus scenario name. Concurrent or rapid same-name runs can overwrite. Results live relative to the package/repo, not a configurable platform data directory. load_run accepts ambiguous substrings and silently chooses the newest.</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Evidence can be lost or the wrong baseline selected. Installed environments may be unwritable, and multiple checkouts fragment history.</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Two parallel CI jobs start the same scenario in one second; both target the same JSON filename. 'compare prod' silently selects a different recent run than intended.</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runner.py:177; store.py:19-20, 33-47.</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Use UUID/ULID plus UTC timestamp, fail on collision, store under an XDG/platform user-data path or explicit --results-dir, and require exact IDs when substring matches are ambiguous.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Concurrency tests create hundreds of same-name runs with no overwrite and deterministic lookup errors.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M-05</w:t>
              <w:br/>
              <w:t>MEDIUM</w:t>
            </w:r>
          </w:p>
        </w:tc>
        <w:tc>
          <w:tcPr>
            <w:tcW w:type="dxa" w:w="5040"/>
            <w:shd w:fill="B48800"/>
            <w:vAlign w:val="center"/>
          </w:tcPr>
          <w:p>
            <w:pPr>
              <w:spacing w:after="0"/>
            </w:pPr>
            <w:r/>
            <w:r>
              <w:rPr>
                <w:rFonts w:ascii="Aptos" w:hAnsi="Aptos"/>
                <w:b/>
                <w:color w:val="FFFFFF"/>
                <w:sz w:val="20"/>
              </w:rPr>
              <w:t>Host fallback and tests are not portable across supported Python installations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57 built-in check commands invoke python rather than python3/sys.executable. On this valid Python 3.12 macOS host, the initial no-Docker test run failed 5/75 tests because python was not on PATH.</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A supported environment can report false oracle failures. Docker images mask the issue because they install python-is-python3, leaving host fallback untested on macOS.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macOS user without Docker receives runtime_error for correct Python solutions solely because /bin/sh cannot find python.</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Initial OPTARENA_NO_DOCKER=1 python3 -m unittest: 70 passed, 5 failed; with a temporary python-&gt;python3 PATH alias: 75/75 passed.</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Normalize interpreter commands through a structured command schema or replace Python invocations with sys.executable/python3 where host execution is explicitly allowed. Test Windows/macOS/Linux.</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OS matrix CI with no python alias and no Docker; no built-in command may assume an undeclared executable name.</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M-06</w:t>
              <w:br/>
              <w:t>MEDIUM</w:t>
            </w:r>
          </w:p>
        </w:tc>
        <w:tc>
          <w:tcPr>
            <w:tcW w:type="dxa" w:w="5040"/>
            <w:shd w:fill="B48800"/>
            <w:vAlign w:val="center"/>
          </w:tcPr>
          <w:p>
            <w:pPr>
              <w:spacing w:after="0"/>
            </w:pPr>
            <w:r/>
            <w:r>
              <w:rPr>
                <w:rFonts w:ascii="Aptos" w:hAnsi="Aptos"/>
                <w:b/>
                <w:color w:val="FFFFFF"/>
                <w:sz w:val="20"/>
              </w:rPr>
              <w:t>Automated coverage is concentrated in pure helpers, not product boundaries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There is one 923-line Python test file with 75 methods. Standard-library trace estimates about 51% weighted executable-line coverage across imported Python modules, with CLI 13%, UI driver 23%, OpenAI driver 29%, store 29%, runner 37%, aider 47%, and metrics/verify high. CrewAI and JS behavior lack unit coverage.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Critical bugs cluster in under-tested integration boundaries: secrets, process lifecycle, packaging, UI oracle, dashboard, Docker, network/provider adapters and docs drift.</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refactor preserves helper tests while breaking installed-wheel assets or leaking UI tests; current CI stays green.</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CI runs only Python 3.11 unit tests and full corpus verify; no lint, coverage threshold, OS/Python matrix, wheel smoke, JS unit tests, dashboard tests, docs build/audit, or adversarial security suite. ruff found two unused-import errors.</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Adopt layered tests: unit, contract, fake-driver integration, installed-wheel, Docker isolation, malicious fixtures, JS oracle conformance, Playwright dashboard, docs build/link/audit, and a Python/OS matrix. Set meaningful changed-code coverage, not a vanity global number.</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Make these gates required and publish coverage by risk boundary. Add regression tests for every finding in this report.</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M-07</w:t>
              <w:br/>
              <w:t>MEDIUM</w:t>
            </w:r>
          </w:p>
        </w:tc>
        <w:tc>
          <w:tcPr>
            <w:tcW w:type="dxa" w:w="5040"/>
            <w:shd w:fill="B48800"/>
            <w:vAlign w:val="center"/>
          </w:tcPr>
          <w:p>
            <w:pPr>
              <w:spacing w:after="0"/>
            </w:pPr>
            <w:r/>
            <w:r>
              <w:rPr>
                <w:rFonts w:ascii="Aptos" w:hAnsi="Aptos"/>
                <w:b/>
                <w:color w:val="FFFFFF"/>
                <w:sz w:val="20"/>
              </w:rPr>
              <w:t>Docusaurus content is materially stale and repository identity is split</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Docs claim 120 cases/11 tracks and show a 127-row catalogue, while code has 500 cases/18 named languages plus legacy tags. The active docs remote is selfopt/optarena-docs, but editUrl points to a non-existent trysti-labs/optarena-docs. Main links point to a different trysti-labs mirror commit. PHP/Ruby/new categories and Kilo installation text are incomplete.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Users cannot determine current capabilities, edit links fail, and maintenance splits across organizations. Security caveats and fallback risk are understated.</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user follows the docs catalogue, assumes only 120 cases, or clicks Edit this page and reaches a missing repository. They run without Docker believing the fallback is a normal supported mode.</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docs/concepts/cases-and-oracle.md:35; docs/reference/case-catalogue.md has 127 case rows; docusaurus.config.js:34; actual repos are selfopt remotes at audited commits.</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Select a canonical organization, add redirects/mirror policy, generate driver/case/CLI reference pages from code, add a threat-model/safe-use page, and version docs with releases.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Docs CI builds, validates external/internal links, compares generated corpus/CLI data to code, and fails on drift.</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M-08</w:t>
              <w:br/>
              <w:t>MEDIUM</w:t>
            </w:r>
          </w:p>
        </w:tc>
        <w:tc>
          <w:tcPr>
            <w:tcW w:type="dxa" w:w="5040"/>
            <w:shd w:fill="B48800"/>
            <w:vAlign w:val="center"/>
          </w:tcPr>
          <w:p>
            <w:pPr>
              <w:spacing w:after="0"/>
            </w:pPr>
            <w:r/>
            <w:r>
              <w:rPr>
                <w:rFonts w:ascii="Aptos" w:hAnsi="Aptos"/>
                <w:b/>
                <w:color w:val="FFFFFF"/>
                <w:sz w:val="20"/>
              </w:rPr>
              <w:t>The dashboard and docs overstate privacy/metric certainty</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The dashboard's 'free'/'local backend' labels conflate missing telemetry, while docs say everything is local even though prompts/code are sent to arbitrary configured remote backends and credentials/results are persisted. optarena serve exposes more than required.</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Users may make incorrect privacy, billing and security assumptions.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scenario points at a remote OpenAI-compatible service; the user interprets 'Everything is local' and 'local backend' as no data leaving the machine.</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docs/concepts/results-and-dashboard.md:56-58; dashboard/index.html cost/token rendering; Backend accepts any URL.</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Use precise language: local orchestration/storage, data sent to the configured provider. Display provider host, telemetry provenance, redaction status and unknown values. Add a first-run data-flow warning for remote endpoints.</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UX tests ensure no unknown value is labeled free/local and remote scenarios present a clear data-egress summary.</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M-09</w:t>
              <w:br/>
              <w:t>MEDIUM</w:t>
            </w:r>
          </w:p>
        </w:tc>
        <w:tc>
          <w:tcPr>
            <w:tcW w:type="dxa" w:w="5040"/>
            <w:shd w:fill="B48800"/>
            <w:vAlign w:val="center"/>
          </w:tcPr>
          <w:p>
            <w:pPr>
              <w:spacing w:after="0"/>
            </w:pPr>
            <w:r/>
            <w:r>
              <w:rPr>
                <w:rFonts w:ascii="Aptos" w:hAnsi="Aptos"/>
                <w:b/>
                <w:color w:val="FFFFFF"/>
                <w:sz w:val="20"/>
              </w:rPr>
              <w:t>Stability measurement excludes the flagship UI drivers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Drivers that cache results (all VS Code UI drivers) silently reduce --trials to 1 because prepare() runs the whole scenario once.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The most brittle/stochastic integration cannot use the project's own flake-awareness feature, weakening UI-vs-CLI conclusions.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Cline update passes once due to UI timing but would fail 2/3 repetitions. OptArena reports a single PASS and no stability signal.</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runner.py:167-171; VSCodeUIDriver.caches_results = True.</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Move scenario-wide preparation inside a trial session loop or let the UI harness repeat selected cases with fresh profiles/workspaces. Report startup time separately from case time.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UI --trials 3 must emit three independent outcomes with no shared chat/profile state unless explicitly testing persistence.</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M-10</w:t>
              <w:br/>
              <w:t>MEDIUM</w:t>
            </w:r>
          </w:p>
        </w:tc>
        <w:tc>
          <w:tcPr>
            <w:tcW w:type="dxa" w:w="5040"/>
            <w:shd w:fill="B48800"/>
            <w:vAlign w:val="center"/>
          </w:tcPr>
          <w:p>
            <w:pPr>
              <w:spacing w:after="0"/>
            </w:pPr>
            <w:r/>
            <w:r>
              <w:rPr>
                <w:rFonts w:ascii="Aptos" w:hAnsi="Aptos"/>
                <w:b/>
                <w:color w:val="FFFFFF"/>
                <w:sz w:val="20"/>
              </w:rPr>
              <w:t>Verifier containers need additional least-privilege and resource controls</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Containers use network none, memory and CPU limits, which is good, but normally run as root with the default capability set, writable root filesystem and run-root mount. There is no pids limit, file-size/disk quota, no-new-privileges, explicit cap-drop, user namespace policy or per-case mount.</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Fork bombs/file bombs can degrade the host; container escape blast radius and cross-case sabotage are larger than necessary. CPU limits do not cap disk or process count.</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Generated code forks until PID exhaustion or fills the host disk through /workspace. Root in the container rewrites sibling workspaces and caches.</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DockerSandbox docker run flags in cases.py and JS mirror. Docker's own security guidance recommends non-privileged users and dropping all capabilities except those required.</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Run as an unprivileged UID/GID, --cap-drop=ALL, --security-opt=no-new-privileges, --pids-limit, read-only rootfs with small tmpfs, per-case writable mount and enforce disk/file/output quotas. Consider stronger microVM/remote sandbox backends for hostile code.</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Adversarial resource tests must fail safely without affecting the host or other cases; capture effective sandbox configuration in results.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B48800"/>
            <w:vAlign w:val="center"/>
          </w:tcPr>
          <w:p>
            <w:pPr>
              <w:spacing w:after="0"/>
            </w:pPr>
            <w:r/>
            <w:r>
              <w:rPr>
                <w:rFonts w:ascii="Aptos" w:hAnsi="Aptos"/>
                <w:b/>
                <w:color w:val="FFFFFF"/>
                <w:sz w:val="18"/>
              </w:rPr>
              <w:t>M-11</w:t>
              <w:br/>
              <w:t>MEDIUM</w:t>
            </w:r>
          </w:p>
        </w:tc>
        <w:tc>
          <w:tcPr>
            <w:tcW w:type="dxa" w:w="5040"/>
            <w:shd w:fill="B48800"/>
            <w:vAlign w:val="center"/>
          </w:tcPr>
          <w:p>
            <w:pPr>
              <w:spacing w:after="0"/>
            </w:pPr>
            <w:r/>
            <w:r>
              <w:rPr>
                <w:rFonts w:ascii="Aptos" w:hAnsi="Aptos"/>
                <w:b/>
                <w:color w:val="FFFFFF"/>
                <w:sz w:val="20"/>
              </w:rPr>
              <w:t>Relative scenario paths depend on the caller's current directory</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Scenario.from_file stores cases_dir verbatim; relative paths resolve from the process working directory rather than the scenario file's directory.</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Portable scenario bundles behave differently in CI, scripts and interactive shells.</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scenarios/team.json contains cases_dir: ./cases. Running from repo root works; running optarena from another directory fails or loads the wrong directory.</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optarena/scenario.py:71-73 and load_cases Path(cases_dir).</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Resolve relative scenario resources against Path(scenario_file).parent and persist the resolved/canonical path or pack identifier in the run manifest.</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Run the same scenario from multiple working directories and require identical manifests/results.</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4A6B82"/>
            <w:vAlign w:val="center"/>
          </w:tcPr>
          <w:p>
            <w:pPr>
              <w:spacing w:after="0"/>
            </w:pPr>
            <w:r/>
            <w:r>
              <w:rPr>
                <w:rFonts w:ascii="Aptos" w:hAnsi="Aptos"/>
                <w:b/>
                <w:color w:val="FFFFFF"/>
                <w:sz w:val="18"/>
              </w:rPr>
              <w:t>L-01</w:t>
              <w:br/>
              <w:t>LOW</w:t>
            </w:r>
          </w:p>
        </w:tc>
        <w:tc>
          <w:tcPr>
            <w:tcW w:type="dxa" w:w="5040"/>
            <w:shd w:fill="4A6B82"/>
            <w:vAlign w:val="center"/>
          </w:tcPr>
          <w:p>
            <w:pPr>
              <w:spacing w:after="0"/>
            </w:pPr>
            <w:r/>
            <w:r>
              <w:rPr>
                <w:rFonts w:ascii="Aptos" w:hAnsi="Aptos"/>
                <w:b/>
                <w:color w:val="FFFFFF"/>
                <w:sz w:val="20"/>
              </w:rPr>
              <w:t>Static quality and statistical semantics need cleanup</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ruff reports two unused imports. Duration aggregation drops zero values; 'faster' uses tool-work mean rather than end-to-end run/oracle time; diff lines are approximate; pricing is a mutable hand-maintained table without provenance.</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These do not dominate correctness but reduce polish and can confuse precise performance interpretation.</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tool appears faster because its expensive verification/startup time is excluded, or a near-zero case is omitted from mean duration.</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ruff check optarena tests found F401 in cli.py and drivers/__init__.py; metrics.py filters durations by truthiness; CaseResult documents duration as tool work only.</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Fix lint, distinguish agent time/oracle time/startup/end-to-end, include explicit zeros, label approximate metrics, and version pricing metadata.</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Lint clean; metric contract tests cover zeros and timing components; UI labels match the contract.</w:t>
            </w:r>
          </w:p>
        </w:tc>
      </w:tr>
    </w:tbl>
    <w:p>
      <w:pPr>
        <w:spacing w:after="40"/>
      </w:pPr>
    </w:p>
    <w:tbl>
      <w:tblPr>
        <w:tblStyle w:val="TableGrid"/>
        <w:tblW w:type="auto" w:w="0"/>
        <w:tblLayout w:type="fixed"/>
        <w:tblLook w:firstColumn="1" w:firstRow="1" w:lastColumn="0" w:lastRow="0" w:noHBand="0" w:noVBand="1" w:val="04A0"/>
      </w:tblPr>
      <w:tblGrid>
        <w:gridCol w:w="1512"/>
        <w:gridCol w:w="8496"/>
      </w:tblGrid>
      <w:tr>
        <w:tc>
          <w:tcPr>
            <w:tcW w:type="dxa" w:w="5040"/>
            <w:shd w:fill="4A6B82"/>
            <w:vAlign w:val="center"/>
          </w:tcPr>
          <w:p>
            <w:pPr>
              <w:spacing w:after="0"/>
            </w:pPr>
            <w:r/>
            <w:r>
              <w:rPr>
                <w:rFonts w:ascii="Aptos" w:hAnsi="Aptos"/>
                <w:b/>
                <w:color w:val="FFFFFF"/>
                <w:sz w:val="18"/>
              </w:rPr>
              <w:t>L-02</w:t>
              <w:br/>
              <w:t>LOW</w:t>
            </w:r>
          </w:p>
        </w:tc>
        <w:tc>
          <w:tcPr>
            <w:tcW w:type="dxa" w:w="5040"/>
            <w:shd w:fill="4A6B82"/>
            <w:vAlign w:val="center"/>
          </w:tcPr>
          <w:p>
            <w:pPr>
              <w:spacing w:after="0"/>
            </w:pPr>
            <w:r/>
            <w:r>
              <w:rPr>
                <w:rFonts w:ascii="Aptos" w:hAnsi="Aptos"/>
                <w:b/>
                <w:color w:val="FFFFFF"/>
                <w:sz w:val="20"/>
              </w:rPr>
              <w:t>Documentation delivery lacks automated governance</w:t>
            </w:r>
          </w:p>
        </w:tc>
      </w:tr>
      <w:tr>
        <w:tc>
          <w:tcPr>
            <w:tcW w:type="dxa" w:w="1512"/>
            <w:shd w:fill="E8EDF4"/>
            <w:vAlign w:val="center"/>
          </w:tcPr>
          <w:p>
            <w:pPr>
              <w:spacing w:after="0"/>
            </w:pPr>
            <w:r/>
            <w:r>
              <w:rPr>
                <w:rFonts w:ascii="Aptos" w:hAnsi="Aptos"/>
                <w:b/>
                <w:color w:val="16233A"/>
                <w:sz w:val="16"/>
              </w:rPr>
              <w:t>Finding</w:t>
            </w:r>
          </w:p>
        </w:tc>
        <w:tc>
          <w:tcPr>
            <w:tcW w:type="dxa" w:w="8496"/>
            <w:vAlign w:val="center"/>
          </w:tcPr>
          <w:p>
            <w:pPr>
              <w:spacing w:after="0"/>
            </w:pPr>
            <w:r/>
            <w:r>
              <w:rPr>
                <w:rFonts w:ascii="Aptos" w:hAnsi="Aptos"/>
                <w:b w:val="0"/>
                <w:sz w:val="17"/>
              </w:rPr>
              <w:t>The docs repo has no .github workflow, tests, link checker, generated-reference check, security policy, contribution guide, versioning, or local search. Docusaurus only warns on broken Markdown links.</w:t>
            </w:r>
          </w:p>
        </w:tc>
      </w:tr>
      <w:tr>
        <w:tc>
          <w:tcPr>
            <w:tcW w:type="dxa" w:w="1512"/>
            <w:shd w:fill="E8EDF4"/>
            <w:vAlign w:val="center"/>
          </w:tcPr>
          <w:p>
            <w:pPr>
              <w:spacing w:after="0"/>
            </w:pPr>
            <w:r/>
            <w:r>
              <w:rPr>
                <w:rFonts w:ascii="Aptos" w:hAnsi="Aptos"/>
                <w:b/>
                <w:color w:val="16233A"/>
                <w:sz w:val="16"/>
              </w:rPr>
              <w:t>Problem / impact</w:t>
            </w:r>
          </w:p>
        </w:tc>
        <w:tc>
          <w:tcPr>
            <w:tcW w:type="dxa" w:w="8496"/>
            <w:vAlign w:val="center"/>
          </w:tcPr>
          <w:p>
            <w:pPr>
              <w:spacing w:after="0"/>
            </w:pPr>
            <w:r/>
            <w:r>
              <w:rPr>
                <w:rFonts w:ascii="Aptos" w:hAnsi="Aptos"/>
                <w:b w:val="0"/>
                <w:sz w:val="17"/>
              </w:rPr>
              <w:t>The stale catalogue and broken edit URL can recur; dependency advisories remain unnoticed; discoverability and contributor workflow suffer.</w:t>
            </w:r>
          </w:p>
        </w:tc>
      </w:tr>
      <w:tr>
        <w:tc>
          <w:tcPr>
            <w:tcW w:type="dxa" w:w="1512"/>
            <w:shd w:fill="E8EDF4"/>
            <w:vAlign w:val="center"/>
          </w:tcPr>
          <w:p>
            <w:pPr>
              <w:spacing w:after="0"/>
            </w:pPr>
            <w:r/>
            <w:r>
              <w:rPr>
                <w:rFonts w:ascii="Aptos" w:hAnsi="Aptos"/>
                <w:b/>
                <w:color w:val="16233A"/>
                <w:sz w:val="16"/>
              </w:rPr>
              <w:t>How it can fail or be abused</w:t>
            </w:r>
          </w:p>
        </w:tc>
        <w:tc>
          <w:tcPr>
            <w:tcW w:type="dxa" w:w="8496"/>
            <w:vAlign w:val="center"/>
          </w:tcPr>
          <w:p>
            <w:pPr>
              <w:spacing w:after="0"/>
            </w:pPr>
            <w:r/>
            <w:r>
              <w:rPr>
                <w:rFonts w:ascii="Aptos" w:hAnsi="Aptos"/>
                <w:b w:val="0"/>
                <w:sz w:val="17"/>
              </w:rPr>
              <w:t>A CLI option changes, docs stay green because no docs job runs, and production publishes inaccurate guidance.</w:t>
            </w:r>
          </w:p>
        </w:tc>
      </w:tr>
      <w:tr>
        <w:tc>
          <w:tcPr>
            <w:tcW w:type="dxa" w:w="1512"/>
            <w:shd w:fill="E8EDF4"/>
            <w:vAlign w:val="center"/>
          </w:tcPr>
          <w:p>
            <w:pPr>
              <w:spacing w:after="0"/>
            </w:pPr>
            <w:r/>
            <w:r>
              <w:rPr>
                <w:rFonts w:ascii="Aptos" w:hAnsi="Aptos"/>
                <w:b/>
                <w:color w:val="16233A"/>
                <w:sz w:val="16"/>
              </w:rPr>
              <w:t>Evidence</w:t>
            </w:r>
          </w:p>
        </w:tc>
        <w:tc>
          <w:tcPr>
            <w:tcW w:type="dxa" w:w="8496"/>
            <w:vAlign w:val="center"/>
          </w:tcPr>
          <w:p>
            <w:pPr>
              <w:spacing w:after="0"/>
            </w:pPr>
            <w:r/>
            <w:r>
              <w:rPr>
                <w:rFonts w:ascii="Aptos" w:hAnsi="Aptos"/>
                <w:b w:val="0"/>
                <w:sz w:val="17"/>
              </w:rPr>
              <w:t>11 Markdown files, zero .github files; docusaurus.config.js uses onBrokenMarkdownLinks: warn and algolia undefined.</w:t>
            </w:r>
          </w:p>
        </w:tc>
      </w:tr>
      <w:tr>
        <w:tc>
          <w:tcPr>
            <w:tcW w:type="dxa" w:w="1512"/>
            <w:shd w:fill="E8EDF4"/>
            <w:vAlign w:val="center"/>
          </w:tcPr>
          <w:p>
            <w:pPr>
              <w:spacing w:after="0"/>
            </w:pPr>
            <w:r/>
            <w:r>
              <w:rPr>
                <w:rFonts w:ascii="Aptos" w:hAnsi="Aptos"/>
                <w:b/>
                <w:color w:val="16233A"/>
                <w:sz w:val="16"/>
              </w:rPr>
              <w:t>Solution</w:t>
            </w:r>
          </w:p>
        </w:tc>
        <w:tc>
          <w:tcPr>
            <w:tcW w:type="dxa" w:w="8496"/>
            <w:vAlign w:val="center"/>
          </w:tcPr>
          <w:p>
            <w:pPr>
              <w:spacing w:after="0"/>
            </w:pPr>
            <w:r/>
            <w:r>
              <w:rPr>
                <w:rFonts w:ascii="Aptos" w:hAnsi="Aptos"/>
                <w:b w:val="0"/>
                <w:sz w:val="17"/>
              </w:rPr>
              <w:t>Add docs CI with npm ci/build/audit/link checks, generated references, spell/style checks, preview deploys, Dependabot, SECURITY.md and release-version mapping.</w:t>
            </w:r>
          </w:p>
        </w:tc>
      </w:tr>
      <w:tr>
        <w:tc>
          <w:tcPr>
            <w:tcW w:type="dxa" w:w="1512"/>
            <w:shd w:fill="E8EDF4"/>
            <w:vAlign w:val="center"/>
          </w:tcPr>
          <w:p>
            <w:pPr>
              <w:spacing w:after="0"/>
            </w:pPr>
            <w:r/>
            <w:r>
              <w:rPr>
                <w:rFonts w:ascii="Aptos" w:hAnsi="Aptos"/>
                <w:b/>
                <w:color w:val="16233A"/>
                <w:sz w:val="16"/>
              </w:rPr>
              <w:t>Verification / improvement</w:t>
            </w:r>
          </w:p>
        </w:tc>
        <w:tc>
          <w:tcPr>
            <w:tcW w:type="dxa" w:w="8496"/>
            <w:vAlign w:val="center"/>
          </w:tcPr>
          <w:p>
            <w:pPr>
              <w:spacing w:after="0"/>
            </w:pPr>
            <w:r/>
            <w:r>
              <w:rPr>
                <w:rFonts w:ascii="Aptos" w:hAnsi="Aptos"/>
                <w:b w:val="0"/>
                <w:sz w:val="17"/>
              </w:rPr>
              <w:t>A deliberately broken internal/external link, stale CLI snapshot and high advisory must each fail CI.</w:t>
            </w:r>
          </w:p>
        </w:tc>
      </w:tr>
    </w:tbl>
    <w:p>
      <w:pPr>
        <w:spacing w:after="40"/>
      </w:pPr>
    </w:p>
    <w:p>
      <w:r>
        <w:br w:type="page"/>
      </w:r>
    </w:p>
    <w:p>
      <w:pPr>
        <w:pStyle w:val="Heading1"/>
      </w:pPr>
      <w:r>
        <w:t>6. Consolidated failure, abuse and exploit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6233A"/>
            <w:vAlign w:val="center"/>
          </w:tcPr>
          <w:p>
            <w:pPr>
              <w:spacing w:after="0"/>
            </w:pPr>
            <w:r/>
            <w:r>
              <w:rPr>
                <w:rFonts w:ascii="Aptos" w:hAnsi="Aptos"/>
                <w:b/>
                <w:color w:val="FFFFFF"/>
                <w:sz w:val="17"/>
              </w:rPr>
              <w:t>Threat / failure</w:t>
            </w:r>
          </w:p>
        </w:tc>
        <w:tc>
          <w:tcPr>
            <w:tcW w:type="dxa" w:w="2880"/>
            <w:shd w:fill="16233A"/>
            <w:vAlign w:val="center"/>
          </w:tcPr>
          <w:p>
            <w:pPr>
              <w:spacing w:after="0"/>
            </w:pPr>
            <w:r/>
            <w:r>
              <w:rPr>
                <w:rFonts w:ascii="Aptos" w:hAnsi="Aptos"/>
                <w:b/>
                <w:color w:val="FFFFFF"/>
                <w:sz w:val="17"/>
              </w:rPr>
              <w:t>Current path</w:t>
            </w:r>
          </w:p>
        </w:tc>
        <w:tc>
          <w:tcPr>
            <w:tcW w:type="dxa" w:w="2448"/>
            <w:shd w:fill="16233A"/>
            <w:vAlign w:val="center"/>
          </w:tcPr>
          <w:p>
            <w:pPr>
              <w:spacing w:after="0"/>
            </w:pPr>
            <w:r/>
            <w:r>
              <w:rPr>
                <w:rFonts w:ascii="Aptos" w:hAnsi="Aptos"/>
                <w:b/>
                <w:color w:val="FFFFFF"/>
                <w:sz w:val="17"/>
              </w:rPr>
              <w:t>Consequence</w:t>
            </w:r>
          </w:p>
        </w:tc>
        <w:tc>
          <w:tcPr>
            <w:tcW w:type="dxa" w:w="2880"/>
            <w:shd w:fill="16233A"/>
            <w:vAlign w:val="center"/>
          </w:tcPr>
          <w:p>
            <w:pPr>
              <w:spacing w:after="0"/>
            </w:pPr>
            <w:r/>
            <w:r>
              <w:rPr>
                <w:rFonts w:ascii="Aptos" w:hAnsi="Aptos"/>
                <w:b/>
                <w:color w:val="FFFFFF"/>
                <w:sz w:val="17"/>
              </w:rPr>
              <w:t>Primary control</w:t>
            </w:r>
          </w:p>
        </w:tc>
      </w:tr>
      <w:tr>
        <w:tc>
          <w:tcPr>
            <w:tcW w:type="dxa" w:w="2016"/>
            <w:vAlign w:val="center"/>
          </w:tcPr>
          <w:p>
            <w:pPr>
              <w:spacing w:after="0"/>
            </w:pPr>
            <w:r/>
            <w:r>
              <w:rPr>
                <w:rFonts w:ascii="Aptos" w:hAnsi="Aptos"/>
                <w:b w:val="0"/>
                <w:sz w:val="17"/>
              </w:rPr>
              <w:t>Malicious custom case pack</w:t>
            </w:r>
          </w:p>
        </w:tc>
        <w:tc>
          <w:tcPr>
            <w:tcW w:type="dxa" w:w="2880"/>
            <w:vAlign w:val="center"/>
          </w:tcPr>
          <w:p>
            <w:pPr>
              <w:spacing w:after="0"/>
            </w:pPr>
            <w:r/>
            <w:r>
              <w:rPr>
                <w:rFonts w:ascii="Aptos" w:hAnsi="Aptos"/>
                <w:b w:val="0"/>
                <w:sz w:val="17"/>
              </w:rPr>
              <w:t>Path traversal + shell check_command</w:t>
            </w:r>
          </w:p>
        </w:tc>
        <w:tc>
          <w:tcPr>
            <w:tcW w:type="dxa" w:w="2448"/>
            <w:vAlign w:val="center"/>
          </w:tcPr>
          <w:p>
            <w:pPr>
              <w:spacing w:after="0"/>
            </w:pPr>
            <w:r/>
            <w:r>
              <w:rPr>
                <w:rFonts w:ascii="Aptos" w:hAnsi="Aptos"/>
                <w:b w:val="0"/>
                <w:sz w:val="17"/>
              </w:rPr>
              <w:t>Arbitrary host file write/RCE</w:t>
            </w:r>
          </w:p>
        </w:tc>
        <w:tc>
          <w:tcPr>
            <w:tcW w:type="dxa" w:w="2880"/>
            <w:vAlign w:val="center"/>
          </w:tcPr>
          <w:p>
            <w:pPr>
              <w:spacing w:after="0"/>
            </w:pPr>
            <w:r/>
            <w:r>
              <w:rPr>
                <w:rFonts w:ascii="Aptos" w:hAnsi="Aptos"/>
                <w:b w:val="0"/>
                <w:sz w:val="17"/>
              </w:rPr>
              <w:t>Schema + containment + fail-closed sandbox</w:t>
            </w:r>
          </w:p>
        </w:tc>
      </w:tr>
      <w:tr>
        <w:tc>
          <w:tcPr>
            <w:tcW w:type="dxa" w:w="2016"/>
            <w:shd w:fill="F7F9FC"/>
            <w:vAlign w:val="center"/>
          </w:tcPr>
          <w:p>
            <w:pPr>
              <w:spacing w:after="0"/>
            </w:pPr>
            <w:r/>
            <w:r>
              <w:rPr>
                <w:rFonts w:ascii="Aptos" w:hAnsi="Aptos"/>
                <w:b w:val="0"/>
                <w:sz w:val="17"/>
              </w:rPr>
              <w:t>Prompt injection in starter repo</w:t>
            </w:r>
          </w:p>
        </w:tc>
        <w:tc>
          <w:tcPr>
            <w:tcW w:type="dxa" w:w="2880"/>
            <w:shd w:fill="F7F9FC"/>
            <w:vAlign w:val="center"/>
          </w:tcPr>
          <w:p>
            <w:pPr>
              <w:spacing w:after="0"/>
            </w:pPr>
            <w:r/>
            <w:r>
              <w:rPr>
                <w:rFonts w:ascii="Aptos" w:hAnsi="Aptos"/>
                <w:b w:val="0"/>
                <w:sz w:val="17"/>
              </w:rPr>
              <w:t>Agent full-auto + inherited env</w:t>
            </w:r>
          </w:p>
        </w:tc>
        <w:tc>
          <w:tcPr>
            <w:tcW w:type="dxa" w:w="2448"/>
            <w:shd w:fill="F7F9FC"/>
            <w:vAlign w:val="center"/>
          </w:tcPr>
          <w:p>
            <w:pPr>
              <w:spacing w:after="0"/>
            </w:pPr>
            <w:r/>
            <w:r>
              <w:rPr>
                <w:rFonts w:ascii="Aptos" w:hAnsi="Aptos"/>
                <w:b w:val="0"/>
                <w:sz w:val="17"/>
              </w:rPr>
              <w:t>Secret theft / host actions</w:t>
            </w:r>
          </w:p>
        </w:tc>
        <w:tc>
          <w:tcPr>
            <w:tcW w:type="dxa" w:w="2880"/>
            <w:shd w:fill="F7F9FC"/>
            <w:vAlign w:val="center"/>
          </w:tcPr>
          <w:p>
            <w:pPr>
              <w:spacing w:after="0"/>
            </w:pPr>
            <w:r/>
            <w:r>
              <w:rPr>
                <w:rFonts w:ascii="Aptos" w:hAnsi="Aptos"/>
                <w:b w:val="0"/>
                <w:sz w:val="17"/>
              </w:rPr>
              <w:t>Agent sandbox + minimal env/tool policy</w:t>
            </w:r>
          </w:p>
        </w:tc>
      </w:tr>
      <w:tr>
        <w:tc>
          <w:tcPr>
            <w:tcW w:type="dxa" w:w="2016"/>
            <w:vAlign w:val="center"/>
          </w:tcPr>
          <w:p>
            <w:pPr>
              <w:spacing w:after="0"/>
            </w:pPr>
            <w:r/>
            <w:r>
              <w:rPr>
                <w:rFonts w:ascii="Aptos" w:hAnsi="Aptos"/>
                <w:b w:val="0"/>
                <w:sz w:val="17"/>
              </w:rPr>
              <w:t>UI benchmark cheating</w:t>
            </w:r>
          </w:p>
        </w:tc>
        <w:tc>
          <w:tcPr>
            <w:tcW w:type="dxa" w:w="2880"/>
            <w:vAlign w:val="center"/>
          </w:tcPr>
          <w:p>
            <w:pPr>
              <w:spacing w:after="0"/>
            </w:pPr>
            <w:r/>
            <w:r>
              <w:rPr>
                <w:rFonts w:ascii="Aptos" w:hAnsi="Aptos"/>
                <w:b w:val="0"/>
                <w:sz w:val="17"/>
              </w:rPr>
              <w:t>Hidden tests written during live polling</w:t>
            </w:r>
          </w:p>
        </w:tc>
        <w:tc>
          <w:tcPr>
            <w:tcW w:type="dxa" w:w="2448"/>
            <w:vAlign w:val="center"/>
          </w:tcPr>
          <w:p>
            <w:pPr>
              <w:spacing w:after="0"/>
            </w:pPr>
            <w:r/>
            <w:r>
              <w:rPr>
                <w:rFonts w:ascii="Aptos" w:hAnsi="Aptos"/>
                <w:b w:val="0"/>
                <w:sz w:val="17"/>
              </w:rPr>
              <w:t>False PASS / non-comparable UI results</w:t>
            </w:r>
          </w:p>
        </w:tc>
        <w:tc>
          <w:tcPr>
            <w:tcW w:type="dxa" w:w="2880"/>
            <w:vAlign w:val="center"/>
          </w:tcPr>
          <w:p>
            <w:pPr>
              <w:spacing w:after="0"/>
            </w:pPr>
            <w:r/>
            <w:r>
              <w:rPr>
                <w:rFonts w:ascii="Aptos" w:hAnsi="Aptos"/>
                <w:b w:val="0"/>
                <w:sz w:val="17"/>
              </w:rPr>
              <w:t>Freeze then grade in separate verifier</w:t>
            </w:r>
          </w:p>
        </w:tc>
      </w:tr>
      <w:tr>
        <w:tc>
          <w:tcPr>
            <w:tcW w:type="dxa" w:w="2016"/>
            <w:shd w:fill="F7F9FC"/>
            <w:vAlign w:val="center"/>
          </w:tcPr>
          <w:p>
            <w:pPr>
              <w:spacing w:after="0"/>
            </w:pPr>
            <w:r/>
            <w:r>
              <w:rPr>
                <w:rFonts w:ascii="Aptos" w:hAnsi="Aptos"/>
                <w:b w:val="0"/>
                <w:sz w:val="17"/>
              </w:rPr>
              <w:t>Corpus answer lookup</w:t>
            </w:r>
          </w:p>
        </w:tc>
        <w:tc>
          <w:tcPr>
            <w:tcW w:type="dxa" w:w="2880"/>
            <w:shd w:fill="F7F9FC"/>
            <w:vAlign w:val="center"/>
          </w:tcPr>
          <w:p>
            <w:pPr>
              <w:spacing w:after="0"/>
            </w:pPr>
            <w:r/>
            <w:r>
              <w:rPr>
                <w:rFonts w:ascii="Aptos" w:hAnsi="Aptos"/>
                <w:b w:val="0"/>
                <w:sz w:val="17"/>
              </w:rPr>
              <w:t>Reference solutions shipped with readable package</w:t>
            </w:r>
          </w:p>
        </w:tc>
        <w:tc>
          <w:tcPr>
            <w:tcW w:type="dxa" w:w="2448"/>
            <w:shd w:fill="F7F9FC"/>
            <w:vAlign w:val="center"/>
          </w:tcPr>
          <w:p>
            <w:pPr>
              <w:spacing w:after="0"/>
            </w:pPr>
            <w:r/>
            <w:r>
              <w:rPr>
                <w:rFonts w:ascii="Aptos" w:hAnsi="Aptos"/>
                <w:b w:val="0"/>
                <w:sz w:val="17"/>
              </w:rPr>
              <w:t>Contamination / copied answers</w:t>
            </w:r>
          </w:p>
        </w:tc>
        <w:tc>
          <w:tcPr>
            <w:tcW w:type="dxa" w:w="2880"/>
            <w:shd w:fill="F7F9FC"/>
            <w:vAlign w:val="center"/>
          </w:tcPr>
          <w:p>
            <w:pPr>
              <w:spacing w:after="0"/>
            </w:pPr>
            <w:r/>
            <w:r>
              <w:rPr>
                <w:rFonts w:ascii="Aptos" w:hAnsi="Aptos"/>
                <w:b w:val="0"/>
                <w:sz w:val="17"/>
              </w:rPr>
              <w:t>Private packs + stripped grader payload + honest trust model</w:t>
            </w:r>
          </w:p>
        </w:tc>
      </w:tr>
      <w:tr>
        <w:tc>
          <w:tcPr>
            <w:tcW w:type="dxa" w:w="2016"/>
            <w:vAlign w:val="center"/>
          </w:tcPr>
          <w:p>
            <w:pPr>
              <w:spacing w:after="0"/>
            </w:pPr>
            <w:r/>
            <w:r>
              <w:rPr>
                <w:rFonts w:ascii="Aptos" w:hAnsi="Aptos"/>
                <w:b w:val="0"/>
                <w:sz w:val="17"/>
              </w:rPr>
              <w:t>Verifier sabotage</w:t>
            </w:r>
          </w:p>
        </w:tc>
        <w:tc>
          <w:tcPr>
            <w:tcW w:type="dxa" w:w="2880"/>
            <w:vAlign w:val="center"/>
          </w:tcPr>
          <w:p>
            <w:pPr>
              <w:spacing w:after="0"/>
            </w:pPr>
            <w:r/>
            <w:r>
              <w:rPr>
                <w:rFonts w:ascii="Aptos" w:hAnsi="Aptos"/>
                <w:b w:val="0"/>
                <w:sz w:val="17"/>
              </w:rPr>
              <w:t>Writable tests/workspace; exit-code-only</w:t>
            </w:r>
          </w:p>
        </w:tc>
        <w:tc>
          <w:tcPr>
            <w:tcW w:type="dxa" w:w="2448"/>
            <w:vAlign w:val="center"/>
          </w:tcPr>
          <w:p>
            <w:pPr>
              <w:spacing w:after="0"/>
            </w:pPr>
            <w:r/>
            <w:r>
              <w:rPr>
                <w:rFonts w:ascii="Aptos" w:hAnsi="Aptos"/>
                <w:b w:val="0"/>
                <w:sz w:val="17"/>
              </w:rPr>
              <w:t>Forged PASS</w:t>
            </w:r>
          </w:p>
        </w:tc>
        <w:tc>
          <w:tcPr>
            <w:tcW w:type="dxa" w:w="2880"/>
            <w:vAlign w:val="center"/>
          </w:tcPr>
          <w:p>
            <w:pPr>
              <w:spacing w:after="0"/>
            </w:pPr>
            <w:r/>
            <w:r>
              <w:rPr>
                <w:rFonts w:ascii="Aptos" w:hAnsi="Aptos"/>
                <w:b w:val="0"/>
                <w:sz w:val="17"/>
              </w:rPr>
              <w:t>Protected external supervisor and adversarial grader tests</w:t>
            </w:r>
          </w:p>
        </w:tc>
      </w:tr>
      <w:tr>
        <w:tc>
          <w:tcPr>
            <w:tcW w:type="dxa" w:w="2016"/>
            <w:shd w:fill="F7F9FC"/>
            <w:vAlign w:val="center"/>
          </w:tcPr>
          <w:p>
            <w:pPr>
              <w:spacing w:after="0"/>
            </w:pPr>
            <w:r/>
            <w:r>
              <w:rPr>
                <w:rFonts w:ascii="Aptos" w:hAnsi="Aptos"/>
                <w:b w:val="0"/>
                <w:sz w:val="17"/>
              </w:rPr>
              <w:t>Cross-case interference</w:t>
            </w:r>
          </w:p>
        </w:tc>
        <w:tc>
          <w:tcPr>
            <w:tcW w:type="dxa" w:w="2880"/>
            <w:shd w:fill="F7F9FC"/>
            <w:vAlign w:val="center"/>
          </w:tcPr>
          <w:p>
            <w:pPr>
              <w:spacing w:after="0"/>
            </w:pPr>
            <w:r/>
            <w:r>
              <w:rPr>
                <w:rFonts w:ascii="Aptos" w:hAnsi="Aptos"/>
                <w:b w:val="0"/>
                <w:sz w:val="17"/>
              </w:rPr>
              <w:t>Shared container + whole-run mount</w:t>
            </w:r>
          </w:p>
        </w:tc>
        <w:tc>
          <w:tcPr>
            <w:tcW w:type="dxa" w:w="2448"/>
            <w:shd w:fill="F7F9FC"/>
            <w:vAlign w:val="center"/>
          </w:tcPr>
          <w:p>
            <w:pPr>
              <w:spacing w:after="0"/>
            </w:pPr>
            <w:r/>
            <w:r>
              <w:rPr>
                <w:rFonts w:ascii="Aptos" w:hAnsi="Aptos"/>
                <w:b w:val="0"/>
                <w:sz w:val="17"/>
              </w:rPr>
              <w:t>Flakes, sabotage, killed healthy tests</w:t>
            </w:r>
          </w:p>
        </w:tc>
        <w:tc>
          <w:tcPr>
            <w:tcW w:type="dxa" w:w="2880"/>
            <w:shd w:fill="F7F9FC"/>
            <w:vAlign w:val="center"/>
          </w:tcPr>
          <w:p>
            <w:pPr>
              <w:spacing w:after="0"/>
            </w:pPr>
            <w:r/>
            <w:r>
              <w:rPr>
                <w:rFonts w:ascii="Aptos" w:hAnsi="Aptos"/>
                <w:b w:val="0"/>
                <w:sz w:val="17"/>
              </w:rPr>
              <w:t>Exclusive per-case containers/mounts</w:t>
            </w:r>
          </w:p>
        </w:tc>
      </w:tr>
      <w:tr>
        <w:tc>
          <w:tcPr>
            <w:tcW w:type="dxa" w:w="2016"/>
            <w:vAlign w:val="center"/>
          </w:tcPr>
          <w:p>
            <w:pPr>
              <w:spacing w:after="0"/>
            </w:pPr>
            <w:r/>
            <w:r>
              <w:rPr>
                <w:rFonts w:ascii="Aptos" w:hAnsi="Aptos"/>
                <w:b w:val="0"/>
                <w:sz w:val="17"/>
              </w:rPr>
              <w:t>Registry/workflow compromise</w:t>
            </w:r>
          </w:p>
        </w:tc>
        <w:tc>
          <w:tcPr>
            <w:tcW w:type="dxa" w:w="2880"/>
            <w:vAlign w:val="center"/>
          </w:tcPr>
          <w:p>
            <w:pPr>
              <w:spacing w:after="0"/>
            </w:pPr>
            <w:r/>
            <w:r>
              <w:rPr>
                <w:rFonts w:ascii="Aptos" w:hAnsi="Aptos"/>
                <w:b w:val="0"/>
                <w:sz w:val="17"/>
              </w:rPr>
              <w:t>Auto-pull mutable latest; tagged Actions</w:t>
            </w:r>
          </w:p>
        </w:tc>
        <w:tc>
          <w:tcPr>
            <w:tcW w:type="dxa" w:w="2448"/>
            <w:vAlign w:val="center"/>
          </w:tcPr>
          <w:p>
            <w:pPr>
              <w:spacing w:after="0"/>
            </w:pPr>
            <w:r/>
            <w:r>
              <w:rPr>
                <w:rFonts w:ascii="Aptos" w:hAnsi="Aptos"/>
                <w:b w:val="0"/>
                <w:sz w:val="17"/>
              </w:rPr>
              <w:t>Changed results or malicious image</w:t>
            </w:r>
          </w:p>
        </w:tc>
        <w:tc>
          <w:tcPr>
            <w:tcW w:type="dxa" w:w="2880"/>
            <w:vAlign w:val="center"/>
          </w:tcPr>
          <w:p>
            <w:pPr>
              <w:spacing w:after="0"/>
            </w:pPr>
            <w:r/>
            <w:r>
              <w:rPr>
                <w:rFonts w:ascii="Aptos" w:hAnsi="Aptos"/>
                <w:b w:val="0"/>
                <w:sz w:val="17"/>
              </w:rPr>
              <w:t>Digest/signature/SBOM and SHA-pinned actions</w:t>
            </w:r>
          </w:p>
        </w:tc>
      </w:tr>
      <w:tr>
        <w:tc>
          <w:tcPr>
            <w:tcW w:type="dxa" w:w="2016"/>
            <w:shd w:fill="F7F9FC"/>
            <w:vAlign w:val="center"/>
          </w:tcPr>
          <w:p>
            <w:pPr>
              <w:spacing w:after="0"/>
            </w:pPr>
            <w:r/>
            <w:r>
              <w:rPr>
                <w:rFonts w:ascii="Aptos" w:hAnsi="Aptos"/>
                <w:b w:val="0"/>
                <w:sz w:val="17"/>
              </w:rPr>
              <w:t>Denial of service</w:t>
            </w:r>
          </w:p>
        </w:tc>
        <w:tc>
          <w:tcPr>
            <w:tcW w:type="dxa" w:w="2880"/>
            <w:shd w:fill="F7F9FC"/>
            <w:vAlign w:val="center"/>
          </w:tcPr>
          <w:p>
            <w:pPr>
              <w:spacing w:after="0"/>
            </w:pPr>
            <w:r/>
            <w:r>
              <w:rPr>
                <w:rFonts w:ascii="Aptos" w:hAnsi="Aptos"/>
                <w:b w:val="0"/>
                <w:sz w:val="17"/>
              </w:rPr>
              <w:t>No pids/disk/output limits; long matrices</w:t>
            </w:r>
          </w:p>
        </w:tc>
        <w:tc>
          <w:tcPr>
            <w:tcW w:type="dxa" w:w="2448"/>
            <w:shd w:fill="F7F9FC"/>
            <w:vAlign w:val="center"/>
          </w:tcPr>
          <w:p>
            <w:pPr>
              <w:spacing w:after="0"/>
            </w:pPr>
            <w:r/>
            <w:r>
              <w:rPr>
                <w:rFonts w:ascii="Aptos" w:hAnsi="Aptos"/>
                <w:b w:val="0"/>
                <w:sz w:val="17"/>
              </w:rPr>
              <w:t>Host disk/PID/cost exhaustion</w:t>
            </w:r>
          </w:p>
        </w:tc>
        <w:tc>
          <w:tcPr>
            <w:tcW w:type="dxa" w:w="2880"/>
            <w:shd w:fill="F7F9FC"/>
            <w:vAlign w:val="center"/>
          </w:tcPr>
          <w:p>
            <w:pPr>
              <w:spacing w:after="0"/>
            </w:pPr>
            <w:r/>
            <w:r>
              <w:rPr>
                <w:rFonts w:ascii="Aptos" w:hAnsi="Aptos"/>
                <w:b w:val="0"/>
                <w:sz w:val="17"/>
              </w:rPr>
              <w:t>Quotas, budgets, circuit breakers, manifest preflight</w:t>
            </w:r>
          </w:p>
        </w:tc>
      </w:tr>
      <w:tr>
        <w:tc>
          <w:tcPr>
            <w:tcW w:type="dxa" w:w="2016"/>
            <w:vAlign w:val="center"/>
          </w:tcPr>
          <w:p>
            <w:pPr>
              <w:spacing w:after="0"/>
            </w:pPr>
            <w:r/>
            <w:r>
              <w:rPr>
                <w:rFonts w:ascii="Aptos" w:hAnsi="Aptos"/>
                <w:b w:val="0"/>
                <w:sz w:val="17"/>
              </w:rPr>
              <w:t>Credential disclosure</w:t>
            </w:r>
          </w:p>
        </w:tc>
        <w:tc>
          <w:tcPr>
            <w:tcW w:type="dxa" w:w="2880"/>
            <w:vAlign w:val="center"/>
          </w:tcPr>
          <w:p>
            <w:pPr>
              <w:spacing w:after="0"/>
            </w:pPr>
            <w:r/>
            <w:r>
              <w:rPr>
                <w:rFonts w:ascii="Aptos" w:hAnsi="Aptos"/>
                <w:b w:val="0"/>
                <w:sz w:val="17"/>
              </w:rPr>
              <w:t>api_key in run JSON + repo-root server</w:t>
            </w:r>
          </w:p>
        </w:tc>
        <w:tc>
          <w:tcPr>
            <w:tcW w:type="dxa" w:w="2448"/>
            <w:vAlign w:val="center"/>
          </w:tcPr>
          <w:p>
            <w:pPr>
              <w:spacing w:after="0"/>
            </w:pPr>
            <w:r/>
            <w:r>
              <w:rPr>
                <w:rFonts w:ascii="Aptos" w:hAnsi="Aptos"/>
                <w:b w:val="0"/>
                <w:sz w:val="17"/>
              </w:rPr>
              <w:t>Provider account compromise</w:t>
            </w:r>
          </w:p>
        </w:tc>
        <w:tc>
          <w:tcPr>
            <w:tcW w:type="dxa" w:w="2880"/>
            <w:vAlign w:val="center"/>
          </w:tcPr>
          <w:p>
            <w:pPr>
              <w:spacing w:after="0"/>
            </w:pPr>
            <w:r/>
            <w:r>
              <w:rPr>
                <w:rFonts w:ascii="Aptos" w:hAnsi="Aptos"/>
                <w:b w:val="0"/>
                <w:sz w:val="17"/>
              </w:rPr>
              <w:t>Never serialize secret; narrow server root</w:t>
            </w:r>
          </w:p>
        </w:tc>
      </w:tr>
      <w:tr>
        <w:tc>
          <w:tcPr>
            <w:tcW w:type="dxa" w:w="2016"/>
            <w:shd w:fill="F7F9FC"/>
            <w:vAlign w:val="center"/>
          </w:tcPr>
          <w:p>
            <w:pPr>
              <w:spacing w:after="0"/>
            </w:pPr>
            <w:r/>
            <w:r>
              <w:rPr>
                <w:rFonts w:ascii="Aptos" w:hAnsi="Aptos"/>
                <w:b w:val="0"/>
                <w:sz w:val="17"/>
              </w:rPr>
              <w:t>False-green CI</w:t>
            </w:r>
          </w:p>
        </w:tc>
        <w:tc>
          <w:tcPr>
            <w:tcW w:type="dxa" w:w="2880"/>
            <w:shd w:fill="F7F9FC"/>
            <w:vAlign w:val="center"/>
          </w:tcPr>
          <w:p>
            <w:pPr>
              <w:spacing w:after="0"/>
            </w:pPr>
            <w:r/>
            <w:r>
              <w:rPr>
                <w:rFonts w:ascii="Aptos" w:hAnsi="Aptos"/>
                <w:b w:val="0"/>
                <w:sz w:val="17"/>
              </w:rPr>
              <w:t>0 cases returns success</w:t>
            </w:r>
          </w:p>
        </w:tc>
        <w:tc>
          <w:tcPr>
            <w:tcW w:type="dxa" w:w="2448"/>
            <w:shd w:fill="F7F9FC"/>
            <w:vAlign w:val="center"/>
          </w:tcPr>
          <w:p>
            <w:pPr>
              <w:spacing w:after="0"/>
            </w:pPr>
            <w:r/>
            <w:r>
              <w:rPr>
                <w:rFonts w:ascii="Aptos" w:hAnsi="Aptos"/>
                <w:b w:val="0"/>
                <w:sz w:val="17"/>
              </w:rPr>
              <w:t>Release with no evaluation</w:t>
            </w:r>
          </w:p>
        </w:tc>
        <w:tc>
          <w:tcPr>
            <w:tcW w:type="dxa" w:w="2880"/>
            <w:shd w:fill="F7F9FC"/>
            <w:vAlign w:val="center"/>
          </w:tcPr>
          <w:p>
            <w:pPr>
              <w:spacing w:after="0"/>
            </w:pPr>
            <w:r/>
            <w:r>
              <w:rPr>
                <w:rFonts w:ascii="Aptos" w:hAnsi="Aptos"/>
                <w:b w:val="0"/>
                <w:sz w:val="17"/>
              </w:rPr>
              <w:t>Reject empty resolved case sets</w:t>
            </w:r>
          </w:p>
        </w:tc>
      </w:tr>
      <w:tr>
        <w:tc>
          <w:tcPr>
            <w:tcW w:type="dxa" w:w="2016"/>
            <w:vAlign w:val="center"/>
          </w:tcPr>
          <w:p>
            <w:pPr>
              <w:spacing w:after="0"/>
            </w:pPr>
            <w:r/>
            <w:r>
              <w:rPr>
                <w:rFonts w:ascii="Aptos" w:hAnsi="Aptos"/>
                <w:b w:val="0"/>
                <w:sz w:val="17"/>
              </w:rPr>
              <w:t>False cost winner</w:t>
            </w:r>
          </w:p>
        </w:tc>
        <w:tc>
          <w:tcPr>
            <w:tcW w:type="dxa" w:w="2880"/>
            <w:vAlign w:val="center"/>
          </w:tcPr>
          <w:p>
            <w:pPr>
              <w:spacing w:after="0"/>
            </w:pPr>
            <w:r/>
            <w:r>
              <w:rPr>
                <w:rFonts w:ascii="Aptos" w:hAnsi="Aptos"/>
                <w:b w:val="0"/>
                <w:sz w:val="17"/>
              </w:rPr>
              <w:t>Missing telemetry coerced to zero</w:t>
            </w:r>
          </w:p>
        </w:tc>
        <w:tc>
          <w:tcPr>
            <w:tcW w:type="dxa" w:w="2448"/>
            <w:vAlign w:val="center"/>
          </w:tcPr>
          <w:p>
            <w:pPr>
              <w:spacing w:after="0"/>
            </w:pPr>
            <w:r/>
            <w:r>
              <w:rPr>
                <w:rFonts w:ascii="Aptos" w:hAnsi="Aptos"/>
                <w:b w:val="0"/>
                <w:sz w:val="17"/>
              </w:rPr>
              <w:t>Wrong procurement/optimization decision</w:t>
            </w:r>
          </w:p>
        </w:tc>
        <w:tc>
          <w:tcPr>
            <w:tcW w:type="dxa" w:w="2880"/>
            <w:vAlign w:val="center"/>
          </w:tcPr>
          <w:p>
            <w:pPr>
              <w:spacing w:after="0"/>
            </w:pPr>
            <w:r/>
            <w:r>
              <w:rPr>
                <w:rFonts w:ascii="Aptos" w:hAnsi="Aptos"/>
                <w:b w:val="0"/>
                <w:sz w:val="17"/>
              </w:rPr>
              <w:t>Unknown tri-state and provenance</w:t>
            </w:r>
          </w:p>
        </w:tc>
      </w:tr>
      <w:tr>
        <w:tc>
          <w:tcPr>
            <w:tcW w:type="dxa" w:w="2016"/>
            <w:shd w:fill="F7F9FC"/>
            <w:vAlign w:val="center"/>
          </w:tcPr>
          <w:p>
            <w:pPr>
              <w:spacing w:after="0"/>
            </w:pPr>
            <w:r/>
            <w:r>
              <w:rPr>
                <w:rFonts w:ascii="Aptos" w:hAnsi="Aptos"/>
                <w:b w:val="0"/>
                <w:sz w:val="17"/>
              </w:rPr>
              <w:t>Reproducibility drift</w:t>
            </w:r>
          </w:p>
        </w:tc>
        <w:tc>
          <w:tcPr>
            <w:tcW w:type="dxa" w:w="2880"/>
            <w:shd w:fill="F7F9FC"/>
            <w:vAlign w:val="center"/>
          </w:tcPr>
          <w:p>
            <w:pPr>
              <w:spacing w:after="0"/>
            </w:pPr>
            <w:r/>
            <w:r>
              <w:rPr>
                <w:rFonts w:ascii="Aptos" w:hAnsi="Aptos"/>
                <w:b w:val="0"/>
                <w:sz w:val="17"/>
              </w:rPr>
              <w:t>Unpinned images/dependencies/pricing</w:t>
            </w:r>
          </w:p>
        </w:tc>
        <w:tc>
          <w:tcPr>
            <w:tcW w:type="dxa" w:w="2448"/>
            <w:shd w:fill="F7F9FC"/>
            <w:vAlign w:val="center"/>
          </w:tcPr>
          <w:p>
            <w:pPr>
              <w:spacing w:after="0"/>
            </w:pPr>
            <w:r/>
            <w:r>
              <w:rPr>
                <w:rFonts w:ascii="Aptos" w:hAnsi="Aptos"/>
                <w:b w:val="0"/>
                <w:sz w:val="17"/>
              </w:rPr>
              <w:t>Same commit, different result</w:t>
            </w:r>
          </w:p>
        </w:tc>
        <w:tc>
          <w:tcPr>
            <w:tcW w:type="dxa" w:w="2880"/>
            <w:shd w:fill="F7F9FC"/>
            <w:vAlign w:val="center"/>
          </w:tcPr>
          <w:p>
            <w:pPr>
              <w:spacing w:after="0"/>
            </w:pPr>
            <w:r/>
            <w:r>
              <w:rPr>
                <w:rFonts w:ascii="Aptos" w:hAnsi="Aptos"/>
                <w:b w:val="0"/>
                <w:sz w:val="17"/>
              </w:rPr>
              <w:t>Immutable evaluation manifest</w:t>
            </w:r>
          </w:p>
        </w:tc>
      </w:tr>
    </w:tbl>
    <w:p>
      <w:pPr>
        <w:spacing w:after="0"/>
      </w:pPr>
    </w:p>
    <w:p>
      <w:pPr>
        <w:pStyle w:val="Heading1"/>
      </w:pPr>
      <w:r>
        <w:t>7. Documentation audit summary</w:t>
      </w:r>
    </w:p>
    <w:p>
      <w:r>
        <w:t>The Docusaurus site is structurally sound and built successfully, but it is not synchronized with the product and omits the security model a tool of this kind requires.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6233A"/>
            <w:vAlign w:val="center"/>
          </w:tcPr>
          <w:p>
            <w:pPr>
              <w:spacing w:after="0"/>
            </w:pPr>
            <w:r/>
            <w:r>
              <w:rPr>
                <w:rFonts w:ascii="Aptos" w:hAnsi="Aptos"/>
                <w:b/>
                <w:color w:val="FFFFFF"/>
                <w:sz w:val="17"/>
              </w:rPr>
              <w:t>Area</w:t>
            </w:r>
          </w:p>
        </w:tc>
        <w:tc>
          <w:tcPr>
            <w:tcW w:type="dxa" w:w="4320"/>
            <w:shd w:fill="16233A"/>
            <w:vAlign w:val="center"/>
          </w:tcPr>
          <w:p>
            <w:pPr>
              <w:spacing w:after="0"/>
            </w:pPr>
            <w:r/>
            <w:r>
              <w:rPr>
                <w:rFonts w:ascii="Aptos" w:hAnsi="Aptos"/>
                <w:b/>
                <w:color w:val="FFFFFF"/>
                <w:sz w:val="17"/>
              </w:rPr>
              <w:t>Finding</w:t>
            </w:r>
          </w:p>
        </w:tc>
        <w:tc>
          <w:tcPr>
            <w:tcW w:type="dxa" w:w="4176"/>
            <w:shd w:fill="16233A"/>
            <w:vAlign w:val="center"/>
          </w:tcPr>
          <w:p>
            <w:pPr>
              <w:spacing w:after="0"/>
            </w:pPr>
            <w:r/>
            <w:r>
              <w:rPr>
                <w:rFonts w:ascii="Aptos" w:hAnsi="Aptos"/>
                <w:b/>
                <w:color w:val="FFFFFF"/>
                <w:sz w:val="17"/>
              </w:rPr>
              <w:t>Recommended correction</w:t>
            </w:r>
          </w:p>
        </w:tc>
      </w:tr>
      <w:tr>
        <w:tc>
          <w:tcPr>
            <w:tcW w:type="dxa" w:w="1584"/>
            <w:vAlign w:val="center"/>
          </w:tcPr>
          <w:p>
            <w:pPr>
              <w:spacing w:after="0"/>
            </w:pPr>
            <w:r/>
            <w:r>
              <w:rPr>
                <w:rFonts w:ascii="Aptos" w:hAnsi="Aptos"/>
                <w:b w:val="0"/>
                <w:sz w:val="17"/>
              </w:rPr>
              <w:t>Corpus</w:t>
            </w:r>
          </w:p>
        </w:tc>
        <w:tc>
          <w:tcPr>
            <w:tcW w:type="dxa" w:w="4320"/>
            <w:vAlign w:val="center"/>
          </w:tcPr>
          <w:p>
            <w:pPr>
              <w:spacing w:after="0"/>
            </w:pPr>
            <w:r/>
            <w:r>
              <w:rPr>
                <w:rFonts w:ascii="Aptos" w:hAnsi="Aptos"/>
                <w:b w:val="0"/>
                <w:sz w:val="17"/>
              </w:rPr>
              <w:t>Claims 120 cases/11 tracks; catalogue has 127 rows; code has 500</w:t>
            </w:r>
          </w:p>
        </w:tc>
        <w:tc>
          <w:tcPr>
            <w:tcW w:type="dxa" w:w="4176"/>
            <w:vAlign w:val="center"/>
          </w:tcPr>
          <w:p>
            <w:pPr>
              <w:spacing w:after="0"/>
            </w:pPr>
            <w:r/>
            <w:r>
              <w:rPr>
                <w:rFonts w:ascii="Aptos" w:hAnsi="Aptos"/>
                <w:b w:val="0"/>
                <w:sz w:val="17"/>
              </w:rPr>
              <w:t>Generate catalogue/statistics from case JSON at build time</w:t>
            </w:r>
          </w:p>
        </w:tc>
      </w:tr>
      <w:tr>
        <w:tc>
          <w:tcPr>
            <w:tcW w:type="dxa" w:w="1584"/>
            <w:shd w:fill="F7F9FC"/>
            <w:vAlign w:val="center"/>
          </w:tcPr>
          <w:p>
            <w:pPr>
              <w:spacing w:after="0"/>
            </w:pPr>
            <w:r/>
            <w:r>
              <w:rPr>
                <w:rFonts w:ascii="Aptos" w:hAnsi="Aptos"/>
                <w:b w:val="0"/>
                <w:sz w:val="17"/>
              </w:rPr>
              <w:t>Repositories</w:t>
            </w:r>
          </w:p>
        </w:tc>
        <w:tc>
          <w:tcPr>
            <w:tcW w:type="dxa" w:w="4320"/>
            <w:shd w:fill="F7F9FC"/>
            <w:vAlign w:val="center"/>
          </w:tcPr>
          <w:p>
            <w:pPr>
              <w:spacing w:after="0"/>
            </w:pPr>
            <w:r/>
            <w:r>
              <w:rPr>
                <w:rFonts w:ascii="Aptos" w:hAnsi="Aptos"/>
                <w:b w:val="0"/>
                <w:sz w:val="17"/>
              </w:rPr>
              <w:t>Docs remote selfopt; editUrl targets missing trysti-labs docs repo; main links point to another mirror commit</w:t>
            </w:r>
          </w:p>
        </w:tc>
        <w:tc>
          <w:tcPr>
            <w:tcW w:type="dxa" w:w="4176"/>
            <w:shd w:fill="F7F9FC"/>
            <w:vAlign w:val="center"/>
          </w:tcPr>
          <w:p>
            <w:pPr>
              <w:spacing w:after="0"/>
            </w:pPr>
            <w:r/>
            <w:r>
              <w:rPr>
                <w:rFonts w:ascii="Aptos" w:hAnsi="Aptos"/>
                <w:b w:val="0"/>
                <w:sz w:val="17"/>
              </w:rPr>
              <w:t>Choose canonical org and add redirects/mirror-status banner</w:t>
            </w:r>
          </w:p>
        </w:tc>
      </w:tr>
      <w:tr>
        <w:tc>
          <w:tcPr>
            <w:tcW w:type="dxa" w:w="1584"/>
            <w:vAlign w:val="center"/>
          </w:tcPr>
          <w:p>
            <w:pPr>
              <w:spacing w:after="0"/>
            </w:pPr>
            <w:r/>
            <w:r>
              <w:rPr>
                <w:rFonts w:ascii="Aptos" w:hAnsi="Aptos"/>
                <w:b w:val="0"/>
                <w:sz w:val="17"/>
              </w:rPr>
              <w:t>Security</w:t>
            </w:r>
          </w:p>
        </w:tc>
        <w:tc>
          <w:tcPr>
            <w:tcW w:type="dxa" w:w="4320"/>
            <w:vAlign w:val="center"/>
          </w:tcPr>
          <w:p>
            <w:pPr>
              <w:spacing w:after="0"/>
            </w:pPr>
            <w:r/>
            <w:r>
              <w:rPr>
                <w:rFonts w:ascii="Aptos" w:hAnsi="Aptos"/>
                <w:b w:val="0"/>
                <w:sz w:val="17"/>
              </w:rPr>
              <w:t>Host fallback described as convenience; no threat model or safe-use guide</w:t>
            </w:r>
          </w:p>
        </w:tc>
        <w:tc>
          <w:tcPr>
            <w:tcW w:type="dxa" w:w="4176"/>
            <w:vAlign w:val="center"/>
          </w:tcPr>
          <w:p>
            <w:pPr>
              <w:spacing w:after="0"/>
            </w:pPr>
            <w:r/>
            <w:r>
              <w:rPr>
                <w:rFonts w:ascii="Aptos" w:hAnsi="Aptos"/>
                <w:b w:val="0"/>
                <w:sz w:val="17"/>
              </w:rPr>
              <w:t>Add trust boundaries, credential handling, sandbox requirements and unsafe-mode warnings</w:t>
            </w:r>
          </w:p>
        </w:tc>
      </w:tr>
      <w:tr>
        <w:tc>
          <w:tcPr>
            <w:tcW w:type="dxa" w:w="1584"/>
            <w:shd w:fill="F7F9FC"/>
            <w:vAlign w:val="center"/>
          </w:tcPr>
          <w:p>
            <w:pPr>
              <w:spacing w:after="0"/>
            </w:pPr>
            <w:r/>
            <w:r>
              <w:rPr>
                <w:rFonts w:ascii="Aptos" w:hAnsi="Aptos"/>
                <w:b w:val="0"/>
                <w:sz w:val="17"/>
              </w:rPr>
              <w:t>Oracle</w:t>
            </w:r>
          </w:p>
        </w:tc>
        <w:tc>
          <w:tcPr>
            <w:tcW w:type="dxa" w:w="4320"/>
            <w:shd w:fill="F7F9FC"/>
            <w:vAlign w:val="center"/>
          </w:tcPr>
          <w:p>
            <w:pPr>
              <w:spacing w:after="0"/>
            </w:pPr>
            <w:r/>
            <w:r>
              <w:rPr>
                <w:rFonts w:ascii="Aptos" w:hAnsi="Aptos"/>
                <w:b w:val="0"/>
                <w:sz w:val="17"/>
              </w:rPr>
              <w:t>Claims hidden tests never seen and Python/JS are identical</w:t>
            </w:r>
          </w:p>
        </w:tc>
        <w:tc>
          <w:tcPr>
            <w:tcW w:type="dxa" w:w="4176"/>
            <w:shd w:fill="F7F9FC"/>
            <w:vAlign w:val="center"/>
          </w:tcPr>
          <w:p>
            <w:pPr>
              <w:spacing w:after="0"/>
            </w:pPr>
            <w:r/>
            <w:r>
              <w:rPr>
                <w:rFonts w:ascii="Aptos" w:hAnsi="Aptos"/>
                <w:b w:val="0"/>
                <w:sz w:val="17"/>
              </w:rPr>
              <w:t>Correct immediately; only restore claim after architectural fix and conformance tests</w:t>
            </w:r>
          </w:p>
        </w:tc>
      </w:tr>
      <w:tr>
        <w:tc>
          <w:tcPr>
            <w:tcW w:type="dxa" w:w="1584"/>
            <w:vAlign w:val="center"/>
          </w:tcPr>
          <w:p>
            <w:pPr>
              <w:spacing w:after="0"/>
            </w:pPr>
            <w:r/>
            <w:r>
              <w:rPr>
                <w:rFonts w:ascii="Aptos" w:hAnsi="Aptos"/>
                <w:b w:val="0"/>
                <w:sz w:val="17"/>
              </w:rPr>
              <w:t>Privacy</w:t>
            </w:r>
          </w:p>
        </w:tc>
        <w:tc>
          <w:tcPr>
            <w:tcW w:type="dxa" w:w="4320"/>
            <w:vAlign w:val="center"/>
          </w:tcPr>
          <w:p>
            <w:pPr>
              <w:spacing w:after="0"/>
            </w:pPr>
            <w:r/>
            <w:r>
              <w:rPr>
                <w:rFonts w:ascii="Aptos" w:hAnsi="Aptos"/>
                <w:b w:val="0"/>
                <w:sz w:val="17"/>
              </w:rPr>
              <w:t>'Everything is local' obscures remote backend egress and saved secrets</w:t>
            </w:r>
          </w:p>
        </w:tc>
        <w:tc>
          <w:tcPr>
            <w:tcW w:type="dxa" w:w="4176"/>
            <w:vAlign w:val="center"/>
          </w:tcPr>
          <w:p>
            <w:pPr>
              <w:spacing w:after="0"/>
            </w:pPr>
            <w:r/>
            <w:r>
              <w:rPr>
                <w:rFonts w:ascii="Aptos" w:hAnsi="Aptos"/>
                <w:b w:val="0"/>
                <w:sz w:val="17"/>
              </w:rPr>
              <w:t>Document exact data flow and retention</w:t>
            </w:r>
          </w:p>
        </w:tc>
      </w:tr>
      <w:tr>
        <w:tc>
          <w:tcPr>
            <w:tcW w:type="dxa" w:w="1584"/>
            <w:shd w:fill="F7F9FC"/>
            <w:vAlign w:val="center"/>
          </w:tcPr>
          <w:p>
            <w:pPr>
              <w:spacing w:after="0"/>
            </w:pPr>
            <w:r/>
            <w:r>
              <w:rPr>
                <w:rFonts w:ascii="Aptos" w:hAnsi="Aptos"/>
                <w:b w:val="0"/>
                <w:sz w:val="17"/>
              </w:rPr>
              <w:t>Metrics</w:t>
            </w:r>
          </w:p>
        </w:tc>
        <w:tc>
          <w:tcPr>
            <w:tcW w:type="dxa" w:w="4320"/>
            <w:shd w:fill="F7F9FC"/>
            <w:vAlign w:val="center"/>
          </w:tcPr>
          <w:p>
            <w:pPr>
              <w:spacing w:after="0"/>
            </w:pPr>
            <w:r/>
            <w:r>
              <w:rPr>
                <w:rFonts w:ascii="Aptos" w:hAnsi="Aptos"/>
                <w:b w:val="0"/>
                <w:sz w:val="17"/>
              </w:rPr>
              <w:t>Unknown/unpriced/free are merged</w:t>
            </w:r>
          </w:p>
        </w:tc>
        <w:tc>
          <w:tcPr>
            <w:tcW w:type="dxa" w:w="4176"/>
            <w:shd w:fill="F7F9FC"/>
            <w:vAlign w:val="center"/>
          </w:tcPr>
          <w:p>
            <w:pPr>
              <w:spacing w:after="0"/>
            </w:pPr>
            <w:r/>
            <w:r>
              <w:rPr>
                <w:rFonts w:ascii="Aptos" w:hAnsi="Aptos"/>
                <w:b w:val="0"/>
                <w:sz w:val="17"/>
              </w:rPr>
              <w:t>Document telemetry provenance and unknown state</w:t>
            </w:r>
          </w:p>
        </w:tc>
      </w:tr>
      <w:tr>
        <w:tc>
          <w:tcPr>
            <w:tcW w:type="dxa" w:w="1584"/>
            <w:vAlign w:val="center"/>
          </w:tcPr>
          <w:p>
            <w:pPr>
              <w:spacing w:after="0"/>
            </w:pPr>
            <w:r/>
            <w:r>
              <w:rPr>
                <w:rFonts w:ascii="Aptos" w:hAnsi="Aptos"/>
                <w:b w:val="0"/>
                <w:sz w:val="17"/>
              </w:rPr>
              <w:t>Delivery</w:t>
            </w:r>
          </w:p>
        </w:tc>
        <w:tc>
          <w:tcPr>
            <w:tcW w:type="dxa" w:w="4320"/>
            <w:vAlign w:val="center"/>
          </w:tcPr>
          <w:p>
            <w:pPr>
              <w:spacing w:after="0"/>
            </w:pPr>
            <w:r/>
            <w:r>
              <w:rPr>
                <w:rFonts w:ascii="Aptos" w:hAnsi="Aptos"/>
                <w:b w:val="0"/>
                <w:sz w:val="17"/>
              </w:rPr>
              <w:t>No CI/link/audit/generated-reference gates</w:t>
            </w:r>
          </w:p>
        </w:tc>
        <w:tc>
          <w:tcPr>
            <w:tcW w:type="dxa" w:w="4176"/>
            <w:vAlign w:val="center"/>
          </w:tcPr>
          <w:p>
            <w:pPr>
              <w:spacing w:after="0"/>
            </w:pPr>
            <w:r/>
            <w:r>
              <w:rPr>
                <w:rFonts w:ascii="Aptos" w:hAnsi="Aptos"/>
                <w:b w:val="0"/>
                <w:sz w:val="17"/>
              </w:rPr>
              <w:t>Add required docs pipeline and dependency automation</w:t>
            </w:r>
          </w:p>
        </w:tc>
      </w:tr>
      <w:tr>
        <w:tc>
          <w:tcPr>
            <w:tcW w:type="dxa" w:w="1584"/>
            <w:shd w:fill="F7F9FC"/>
            <w:vAlign w:val="center"/>
          </w:tcPr>
          <w:p>
            <w:pPr>
              <w:spacing w:after="0"/>
            </w:pPr>
            <w:r/>
            <w:r>
              <w:rPr>
                <w:rFonts w:ascii="Aptos" w:hAnsi="Aptos"/>
                <w:b w:val="0"/>
                <w:sz w:val="17"/>
              </w:rPr>
              <w:t>Dependencies</w:t>
            </w:r>
          </w:p>
        </w:tc>
        <w:tc>
          <w:tcPr>
            <w:tcW w:type="dxa" w:w="4320"/>
            <w:shd w:fill="F7F9FC"/>
            <w:vAlign w:val="center"/>
          </w:tcPr>
          <w:p>
            <w:pPr>
              <w:spacing w:after="0"/>
            </w:pPr>
            <w:r/>
            <w:r>
              <w:rPr>
                <w:rFonts w:ascii="Aptos" w:hAnsi="Aptos"/>
                <w:b w:val="0"/>
                <w:sz w:val="17"/>
              </w:rPr>
              <w:t>21 advisories including 1 high</w:t>
            </w:r>
          </w:p>
        </w:tc>
        <w:tc>
          <w:tcPr>
            <w:tcW w:type="dxa" w:w="4176"/>
            <w:shd w:fill="F7F9FC"/>
            <w:vAlign w:val="center"/>
          </w:tcPr>
          <w:p>
            <w:pPr>
              <w:spacing w:after="0"/>
            </w:pPr>
            <w:r/>
            <w:r>
              <w:rPr>
                <w:rFonts w:ascii="Aptos" w:hAnsi="Aptos"/>
                <w:b w:val="0"/>
                <w:sz w:val="17"/>
              </w:rPr>
              <w:t>Upgrade/override patched chain and gate high/critical advisories</w:t>
            </w:r>
          </w:p>
        </w:tc>
      </w:tr>
    </w:tbl>
    <w:p>
      <w:pPr>
        <w:spacing w:after="0"/>
      </w:pPr>
    </w:p>
    <w:p>
      <w:pPr>
        <w:pStyle w:val="Heading1"/>
      </w:pPr>
      <w:r>
        <w:t>8. Current market and comparable products</w:t>
      </w:r>
    </w:p>
    <w:p>
      <w:r>
        <w:t>There are now several similar or adjacent products. OptArena is not alone in coding-agent evaluation, but no reviewed product exactly combines real VS Code extension UI automation, raw-model baselines, a dependency-light local A/B workflow and this specific cross-language corpus. The gap is narrower than the repository's older competitive analysis suggests because Promptfoo, Harbor and Inspect now directly support coding/external agents.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shd w:fill="16233A"/>
            <w:vAlign w:val="center"/>
          </w:tcPr>
          <w:p>
            <w:pPr>
              <w:spacing w:after="0"/>
            </w:pPr>
            <w:r/>
            <w:r>
              <w:rPr>
                <w:rFonts w:ascii="Aptos" w:hAnsi="Aptos"/>
                <w:b/>
                <w:color w:val="FFFFFF"/>
                <w:sz w:val="17"/>
              </w:rPr>
              <w:t>Product</w:t>
            </w:r>
          </w:p>
        </w:tc>
        <w:tc>
          <w:tcPr>
            <w:tcW w:type="dxa" w:w="3312"/>
            <w:shd w:fill="16233A"/>
            <w:vAlign w:val="center"/>
          </w:tcPr>
          <w:p>
            <w:pPr>
              <w:spacing w:after="0"/>
            </w:pPr>
            <w:r/>
            <w:r>
              <w:rPr>
                <w:rFonts w:ascii="Aptos" w:hAnsi="Aptos"/>
                <w:b/>
                <w:color w:val="FFFFFF"/>
                <w:sz w:val="17"/>
              </w:rPr>
              <w:t>Current overlap</w:t>
            </w:r>
          </w:p>
        </w:tc>
        <w:tc>
          <w:tcPr>
            <w:tcW w:type="dxa" w:w="2736"/>
            <w:shd w:fill="16233A"/>
            <w:vAlign w:val="center"/>
          </w:tcPr>
          <w:p>
            <w:pPr>
              <w:spacing w:after="0"/>
            </w:pPr>
            <w:r/>
            <w:r>
              <w:rPr>
                <w:rFonts w:ascii="Aptos" w:hAnsi="Aptos"/>
                <w:b/>
                <w:color w:val="FFFFFF"/>
                <w:sz w:val="17"/>
              </w:rPr>
              <w:t>Where it is stronger</w:t>
            </w:r>
          </w:p>
        </w:tc>
        <w:tc>
          <w:tcPr>
            <w:tcW w:type="dxa" w:w="2880"/>
            <w:shd w:fill="16233A"/>
            <w:vAlign w:val="center"/>
          </w:tcPr>
          <w:p>
            <w:pPr>
              <w:spacing w:after="0"/>
            </w:pPr>
            <w:r/>
            <w:r>
              <w:rPr>
                <w:rFonts w:ascii="Aptos" w:hAnsi="Aptos"/>
                <w:b/>
                <w:color w:val="FFFFFF"/>
                <w:sz w:val="17"/>
              </w:rPr>
              <w:t>OptArena opportunity</w:t>
            </w:r>
          </w:p>
        </w:tc>
      </w:tr>
      <w:tr>
        <w:tc>
          <w:tcPr>
            <w:tcW w:type="dxa" w:w="1584"/>
            <w:vAlign w:val="center"/>
          </w:tcPr>
          <w:p>
            <w:pPr>
              <w:spacing w:after="0"/>
            </w:pPr>
            <w:r/>
            <w:r>
              <w:rPr>
                <w:rFonts w:ascii="Aptos" w:hAnsi="Aptos"/>
                <w:b w:val="0"/>
                <w:sz w:val="17"/>
              </w:rPr>
              <w:t>Promptfoo</w:t>
            </w:r>
          </w:p>
        </w:tc>
        <w:tc>
          <w:tcPr>
            <w:tcW w:type="dxa" w:w="3312"/>
            <w:vAlign w:val="center"/>
          </w:tcPr>
          <w:p>
            <w:pPr>
              <w:spacing w:after="0"/>
            </w:pPr>
            <w:r/>
            <w:r>
              <w:rPr>
                <w:rFonts w:ascii="Aptos" w:hAnsi="Aptos"/>
                <w:b w:val="0"/>
                <w:sz w:val="17"/>
              </w:rPr>
              <w:t>Direct coding-agent evals: Codex SDK/app-server, Claude Agent SDK, OpenCode, Open Interpreter, plain LLM baselines; repetition, cost, trajectory and safety guidance</w:t>
            </w:r>
          </w:p>
        </w:tc>
        <w:tc>
          <w:tcPr>
            <w:tcW w:type="dxa" w:w="2736"/>
            <w:vAlign w:val="center"/>
          </w:tcPr>
          <w:p>
            <w:pPr>
              <w:spacing w:after="0"/>
            </w:pPr>
            <w:r/>
            <w:r>
              <w:rPr>
                <w:rFonts w:ascii="Aptos" w:hAnsi="Aptos"/>
                <w:b w:val="0"/>
                <w:sz w:val="17"/>
              </w:rPr>
              <w:t>Broader provider/evaluator/red-team platform; safer minimal/read-only defaults</w:t>
            </w:r>
          </w:p>
        </w:tc>
        <w:tc>
          <w:tcPr>
            <w:tcW w:type="dxa" w:w="2880"/>
            <w:vAlign w:val="center"/>
          </w:tcPr>
          <w:p>
            <w:pPr>
              <w:spacing w:after="0"/>
            </w:pPr>
            <w:r/>
            <w:r>
              <w:rPr>
                <w:rFonts w:ascii="Aptos" w:hAnsi="Aptos"/>
                <w:b w:val="0"/>
                <w:sz w:val="17"/>
              </w:rPr>
              <w:t>Differentiate on real installed IDE UI behavior and final artifact verification; borrow trace/policy assertions</w:t>
            </w:r>
          </w:p>
        </w:tc>
      </w:tr>
      <w:tr>
        <w:tc>
          <w:tcPr>
            <w:tcW w:type="dxa" w:w="1584"/>
            <w:shd w:fill="F7F9FC"/>
            <w:vAlign w:val="center"/>
          </w:tcPr>
          <w:p>
            <w:pPr>
              <w:spacing w:after="0"/>
            </w:pPr>
            <w:r/>
            <w:r>
              <w:rPr>
                <w:rFonts w:ascii="Aptos" w:hAnsi="Aptos"/>
                <w:b w:val="0"/>
                <w:sz w:val="17"/>
              </w:rPr>
              <w:t>Harbor</w:t>
            </w:r>
          </w:p>
        </w:tc>
        <w:tc>
          <w:tcPr>
            <w:tcW w:type="dxa" w:w="3312"/>
            <w:shd w:fill="F7F9FC"/>
            <w:vAlign w:val="center"/>
          </w:tcPr>
          <w:p>
            <w:pPr>
              <w:spacing w:after="0"/>
            </w:pPr>
            <w:r/>
            <w:r>
              <w:rPr>
                <w:rFonts w:ascii="Aptos" w:hAnsi="Aptos"/>
                <w:b w:val="0"/>
                <w:sz w:val="17"/>
              </w:rPr>
              <w:t>Containerized agent/model evaluation, popular CLI agents, custom tasks, CI/RL use</w:t>
            </w:r>
          </w:p>
        </w:tc>
        <w:tc>
          <w:tcPr>
            <w:tcW w:type="dxa" w:w="2736"/>
            <w:shd w:fill="F7F9FC"/>
            <w:vAlign w:val="center"/>
          </w:tcPr>
          <w:p>
            <w:pPr>
              <w:spacing w:after="0"/>
            </w:pPr>
            <w:r/>
            <w:r>
              <w:rPr>
                <w:rFonts w:ascii="Aptos" w:hAnsi="Aptos"/>
                <w:b w:val="0"/>
                <w:sz w:val="17"/>
              </w:rPr>
              <w:t>Agent breadth, environment abstraction, cloud sandbox scaling</w:t>
            </w:r>
          </w:p>
        </w:tc>
        <w:tc>
          <w:tcPr>
            <w:tcW w:type="dxa" w:w="2880"/>
            <w:shd w:fill="F7F9FC"/>
            <w:vAlign w:val="center"/>
          </w:tcPr>
          <w:p>
            <w:pPr>
              <w:spacing w:after="0"/>
            </w:pPr>
            <w:r/>
            <w:r>
              <w:rPr>
                <w:rFonts w:ascii="Aptos" w:hAnsi="Aptos"/>
                <w:b w:val="0"/>
                <w:sz w:val="17"/>
              </w:rPr>
              <w:t>Remain lighter/local; consider Harbor-compatible task/agent adapters rather than rebuilding scale</w:t>
            </w:r>
          </w:p>
        </w:tc>
      </w:tr>
      <w:tr>
        <w:tc>
          <w:tcPr>
            <w:tcW w:type="dxa" w:w="1584"/>
            <w:vAlign w:val="center"/>
          </w:tcPr>
          <w:p>
            <w:pPr>
              <w:spacing w:after="0"/>
            </w:pPr>
            <w:r/>
            <w:r>
              <w:rPr>
                <w:rFonts w:ascii="Aptos" w:hAnsi="Aptos"/>
                <w:b w:val="0"/>
                <w:sz w:val="17"/>
              </w:rPr>
              <w:t>Inspect AI</w:t>
            </w:r>
          </w:p>
        </w:tc>
        <w:tc>
          <w:tcPr>
            <w:tcW w:type="dxa" w:w="3312"/>
            <w:vAlign w:val="center"/>
          </w:tcPr>
          <w:p>
            <w:pPr>
              <w:spacing w:after="0"/>
            </w:pPr>
            <w:r/>
            <w:r>
              <w:rPr>
                <w:rFonts w:ascii="Aptos" w:hAnsi="Aptos"/>
                <w:b w:val="0"/>
                <w:sz w:val="17"/>
              </w:rPr>
              <w:t>External agents, Docker/Kubernetes/cloud sandboxes, datasets/scorers, logs/viewer</w:t>
            </w:r>
          </w:p>
        </w:tc>
        <w:tc>
          <w:tcPr>
            <w:tcW w:type="dxa" w:w="2736"/>
            <w:vAlign w:val="center"/>
          </w:tcPr>
          <w:p>
            <w:pPr>
              <w:spacing w:after="0"/>
            </w:pPr>
            <w:r/>
            <w:r>
              <w:rPr>
                <w:rFonts w:ascii="Aptos" w:hAnsi="Aptos"/>
                <w:b w:val="0"/>
                <w:sz w:val="17"/>
              </w:rPr>
              <w:t>Mature general eval framework, 200+ evals, strong sandbox extensibility</w:t>
            </w:r>
          </w:p>
        </w:tc>
        <w:tc>
          <w:tcPr>
            <w:tcW w:type="dxa" w:w="2880"/>
            <w:vAlign w:val="center"/>
          </w:tcPr>
          <w:p>
            <w:pPr>
              <w:spacing w:after="0"/>
            </w:pPr>
            <w:r/>
            <w:r>
              <w:rPr>
                <w:rFonts w:ascii="Aptos" w:hAnsi="Aptos"/>
                <w:b w:val="0"/>
                <w:sz w:val="17"/>
              </w:rPr>
              <w:t>Offer an Inspect exporter/bridge; own the real-UI test surface</w:t>
            </w:r>
          </w:p>
        </w:tc>
      </w:tr>
      <w:tr>
        <w:tc>
          <w:tcPr>
            <w:tcW w:type="dxa" w:w="1584"/>
            <w:shd w:fill="F7F9FC"/>
            <w:vAlign w:val="center"/>
          </w:tcPr>
          <w:p>
            <w:pPr>
              <w:spacing w:after="0"/>
            </w:pPr>
            <w:r/>
            <w:r>
              <w:rPr>
                <w:rFonts w:ascii="Aptos" w:hAnsi="Aptos"/>
                <w:b w:val="0"/>
                <w:sz w:val="17"/>
              </w:rPr>
              <w:t>Terminal-Bench</w:t>
            </w:r>
          </w:p>
        </w:tc>
        <w:tc>
          <w:tcPr>
            <w:tcW w:type="dxa" w:w="3312"/>
            <w:shd w:fill="F7F9FC"/>
            <w:vAlign w:val="center"/>
          </w:tcPr>
          <w:p>
            <w:pPr>
              <w:spacing w:after="0"/>
            </w:pPr>
            <w:r/>
            <w:r>
              <w:rPr>
                <w:rFonts w:ascii="Aptos" w:hAnsi="Aptos"/>
                <w:b w:val="0"/>
                <w:sz w:val="17"/>
              </w:rPr>
              <w:t>Terminal agent tasks with test-script verification</w:t>
            </w:r>
          </w:p>
        </w:tc>
        <w:tc>
          <w:tcPr>
            <w:tcW w:type="dxa" w:w="2736"/>
            <w:shd w:fill="F7F9FC"/>
            <w:vAlign w:val="center"/>
          </w:tcPr>
          <w:p>
            <w:pPr>
              <w:spacing w:after="0"/>
            </w:pPr>
            <w:r/>
            <w:r>
              <w:rPr>
                <w:rFonts w:ascii="Aptos" w:hAnsi="Aptos"/>
                <w:b w:val="0"/>
                <w:sz w:val="17"/>
              </w:rPr>
              <w:t>Versioned hard tasks and public benchmark ecosystem</w:t>
            </w:r>
          </w:p>
        </w:tc>
        <w:tc>
          <w:tcPr>
            <w:tcW w:type="dxa" w:w="2880"/>
            <w:shd w:fill="F7F9FC"/>
            <w:vAlign w:val="center"/>
          </w:tcPr>
          <w:p>
            <w:pPr>
              <w:spacing w:after="0"/>
            </w:pPr>
            <w:r/>
            <w:r>
              <w:rPr>
                <w:rFonts w:ascii="Aptos" w:hAnsi="Aptos"/>
                <w:b w:val="0"/>
                <w:sz w:val="17"/>
              </w:rPr>
              <w:t>Position OptArena as private acceptance/regression lab, not another public leaderboard</w:t>
            </w:r>
          </w:p>
        </w:tc>
      </w:tr>
      <w:tr>
        <w:tc>
          <w:tcPr>
            <w:tcW w:type="dxa" w:w="1584"/>
            <w:vAlign w:val="center"/>
          </w:tcPr>
          <w:p>
            <w:pPr>
              <w:spacing w:after="0"/>
            </w:pPr>
            <w:r/>
            <w:r>
              <w:rPr>
                <w:rFonts w:ascii="Aptos" w:hAnsi="Aptos"/>
                <w:b w:val="0"/>
                <w:sz w:val="17"/>
              </w:rPr>
              <w:t>SWE-bench family</w:t>
            </w:r>
          </w:p>
        </w:tc>
        <w:tc>
          <w:tcPr>
            <w:tcW w:type="dxa" w:w="3312"/>
            <w:vAlign w:val="center"/>
          </w:tcPr>
          <w:p>
            <w:pPr>
              <w:spacing w:after="0"/>
            </w:pPr>
            <w:r/>
            <w:r>
              <w:rPr>
                <w:rFonts w:ascii="Aptos" w:hAnsi="Aptos"/>
                <w:b w:val="0"/>
                <w:sz w:val="17"/>
              </w:rPr>
              <w:t>Real software issues, Docker evaluation and model/agent comparison</w:t>
            </w:r>
          </w:p>
        </w:tc>
        <w:tc>
          <w:tcPr>
            <w:tcW w:type="dxa" w:w="2736"/>
            <w:vAlign w:val="center"/>
          </w:tcPr>
          <w:p>
            <w:pPr>
              <w:spacing w:after="0"/>
            </w:pPr>
            <w:r/>
            <w:r>
              <w:rPr>
                <w:rFonts w:ascii="Aptos" w:hAnsi="Aptos"/>
                <w:b w:val="0"/>
                <w:sz w:val="17"/>
              </w:rPr>
              <w:t>Industry benchmark recognition and repository-scale realism</w:t>
            </w:r>
          </w:p>
        </w:tc>
        <w:tc>
          <w:tcPr>
            <w:tcW w:type="dxa" w:w="2880"/>
            <w:vAlign w:val="center"/>
          </w:tcPr>
          <w:p>
            <w:pPr>
              <w:spacing w:after="0"/>
            </w:pPr>
            <w:r/>
            <w:r>
              <w:rPr>
                <w:rFonts w:ascii="Aptos" w:hAnsi="Aptos"/>
                <w:b w:val="0"/>
                <w:sz w:val="17"/>
              </w:rPr>
              <w:t>Use/import small private repo task packs; avoid contamination/leaderboard claims</w:t>
            </w:r>
          </w:p>
        </w:tc>
      </w:tr>
      <w:tr>
        <w:tc>
          <w:tcPr>
            <w:tcW w:type="dxa" w:w="1584"/>
            <w:shd w:fill="F7F9FC"/>
            <w:vAlign w:val="center"/>
          </w:tcPr>
          <w:p>
            <w:pPr>
              <w:spacing w:after="0"/>
            </w:pPr>
            <w:r/>
            <w:r>
              <w:rPr>
                <w:rFonts w:ascii="Aptos" w:hAnsi="Aptos"/>
                <w:b w:val="0"/>
                <w:sz w:val="17"/>
              </w:rPr>
              <w:t>Aider leaderboard</w:t>
            </w:r>
          </w:p>
        </w:tc>
        <w:tc>
          <w:tcPr>
            <w:tcW w:type="dxa" w:w="3312"/>
            <w:shd w:fill="F7F9FC"/>
            <w:vAlign w:val="center"/>
          </w:tcPr>
          <w:p>
            <w:pPr>
              <w:spacing w:after="0"/>
            </w:pPr>
            <w:r/>
            <w:r>
              <w:rPr>
                <w:rFonts w:ascii="Aptos" w:hAnsi="Aptos"/>
                <w:b w:val="0"/>
                <w:sz w:val="17"/>
              </w:rPr>
              <w:t>Coding correctness, cost and repeated attempts across 225 exercises</w:t>
            </w:r>
          </w:p>
        </w:tc>
        <w:tc>
          <w:tcPr>
            <w:tcW w:type="dxa" w:w="2736"/>
            <w:shd w:fill="F7F9FC"/>
            <w:vAlign w:val="center"/>
          </w:tcPr>
          <w:p>
            <w:pPr>
              <w:spacing w:after="0"/>
            </w:pPr>
            <w:r/>
            <w:r>
              <w:rPr>
                <w:rFonts w:ascii="Aptos" w:hAnsi="Aptos"/>
                <w:b w:val="0"/>
                <w:sz w:val="17"/>
              </w:rPr>
              <w:t>Recognized model/edit-format benchmark</w:t>
            </w:r>
          </w:p>
        </w:tc>
        <w:tc>
          <w:tcPr>
            <w:tcW w:type="dxa" w:w="2880"/>
            <w:shd w:fill="F7F9FC"/>
            <w:vAlign w:val="center"/>
          </w:tcPr>
          <w:p>
            <w:pPr>
              <w:spacing w:after="0"/>
            </w:pPr>
            <w:r/>
            <w:r>
              <w:rPr>
                <w:rFonts w:ascii="Aptos" w:hAnsi="Aptos"/>
                <w:b w:val="0"/>
                <w:sz w:val="17"/>
              </w:rPr>
              <w:t>Compare complete agents/clients using the same backend, beyond aider-only models</w:t>
            </w:r>
          </w:p>
        </w:tc>
      </w:tr>
      <w:tr>
        <w:tc>
          <w:tcPr>
            <w:tcW w:type="dxa" w:w="1584"/>
            <w:vAlign w:val="center"/>
          </w:tcPr>
          <w:p>
            <w:pPr>
              <w:spacing w:after="0"/>
            </w:pPr>
            <w:r/>
            <w:r>
              <w:rPr>
                <w:rFonts w:ascii="Aptos" w:hAnsi="Aptos"/>
                <w:b w:val="0"/>
                <w:sz w:val="17"/>
              </w:rPr>
              <w:t>LangSmith / Braintrust</w:t>
            </w:r>
          </w:p>
        </w:tc>
        <w:tc>
          <w:tcPr>
            <w:tcW w:type="dxa" w:w="3312"/>
            <w:vAlign w:val="center"/>
          </w:tcPr>
          <w:p>
            <w:pPr>
              <w:spacing w:after="0"/>
            </w:pPr>
            <w:r/>
            <w:r>
              <w:rPr>
                <w:rFonts w:ascii="Aptos" w:hAnsi="Aptos"/>
                <w:b w:val="0"/>
                <w:sz w:val="17"/>
              </w:rPr>
              <w:t>Datasets, experiments, baselines, traces, CI regression and collaboration</w:t>
            </w:r>
          </w:p>
        </w:tc>
        <w:tc>
          <w:tcPr>
            <w:tcW w:type="dxa" w:w="2736"/>
            <w:vAlign w:val="center"/>
          </w:tcPr>
          <w:p>
            <w:pPr>
              <w:spacing w:after="0"/>
            </w:pPr>
            <w:r/>
            <w:r>
              <w:rPr>
                <w:rFonts w:ascii="Aptos" w:hAnsi="Aptos"/>
                <w:b w:val="0"/>
                <w:sz w:val="17"/>
              </w:rPr>
              <w:t>Hosted team workflows, observability, immutable experiments and production feedback</w:t>
            </w:r>
          </w:p>
        </w:tc>
        <w:tc>
          <w:tcPr>
            <w:tcW w:type="dxa" w:w="2880"/>
            <w:vAlign w:val="center"/>
          </w:tcPr>
          <w:p>
            <w:pPr>
              <w:spacing w:after="0"/>
            </w:pPr>
            <w:r/>
            <w:r>
              <w:rPr>
                <w:rFonts w:ascii="Aptos" w:hAnsi="Aptos"/>
                <w:b w:val="0"/>
                <w:sz w:val="17"/>
              </w:rPr>
              <w:t>Stay private/local by default; add export formats rather than recreating SaaS</w:t>
            </w:r>
          </w:p>
        </w:tc>
      </w:tr>
    </w:tbl>
    <w:p>
      <w:pPr>
        <w:spacing w:after="0"/>
      </w:pPr>
    </w:p>
    <w:p>
      <w:pPr>
        <w:pStyle w:val="Heading1"/>
      </w:pPr>
      <w:r>
        <w:t>9. Recommended product positioning</w:t>
      </w:r>
    </w:p>
    <w:p>
      <w:pPr>
        <w:spacing w:after="80"/>
      </w:pPr>
      <w:r>
        <w:rPr>
          <w:b/>
          <w:color w:val="16233A"/>
        </w:rPr>
        <w:t xml:space="preserve">Recommended category: </w:t>
      </w:r>
      <w:r>
        <w:t>A local acceptance-test and regression lab for coding-agent clients, models and tool policies—including real IDE UI behavior.</w:t>
      </w:r>
    </w:p>
    <w:p>
      <w:pPr>
        <w:spacing w:after="80"/>
      </w:pPr>
      <w:r>
        <w:rPr>
          <w:b/>
          <w:color w:val="16233A"/>
        </w:rPr>
        <w:t xml:space="preserve">Avoid leading with: </w:t>
      </w:r>
      <w:r>
        <w:t>'The arena where agents compete' as a generic benchmark claim. Public, answer-bearing cases and current security boundaries make that framing invite comparison with mature benchmark infrastructure and tamper resistance the product does not yet have.</w:t>
      </w:r>
    </w:p>
    <w:p>
      <w:pPr>
        <w:spacing w:after="80"/>
      </w:pPr>
      <w:r>
        <w:rPr>
          <w:b/>
          <w:color w:val="16233A"/>
        </w:rPr>
        <w:t xml:space="preserve">Defensible wedge: </w:t>
      </w:r>
      <w:r>
        <w:t>Test the developer surface users actually operate: extension onboarding, provider configuration, approvals, multi-turn edits, file changes, commands and final behavior. Promptfoo explicitly says its Codex app-server evaluation does not attach to an already-running desktop UI; that distinction is valuable if OptArena makes it safe and reliable.</w:t>
      </w:r>
    </w:p>
    <w:p>
      <w:pPr>
        <w:spacing w:after="80"/>
      </w:pPr>
      <w:r>
        <w:rPr>
          <w:b/>
          <w:color w:val="16233A"/>
        </w:rPr>
        <w:t xml:space="preserve">Moat to build: </w:t>
      </w:r>
      <w:r>
        <w:t>UI interaction/permission-policy conformance + private organization case packs + immutable evidence manifests. The 500-case corpus is an accelerator, not by itself a moat because it is open and easy to copy/contaminate.</w:t>
      </w:r>
    </w:p>
    <w:p>
      <w:pPr>
        <w:pStyle w:val="Heading1"/>
      </w:pPr>
      <w:r>
        <w:t>10. Prioritized improvement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6233A"/>
            <w:vAlign w:val="center"/>
          </w:tcPr>
          <w:p>
            <w:pPr>
              <w:spacing w:after="0"/>
            </w:pPr>
            <w:r/>
            <w:r>
              <w:rPr>
                <w:rFonts w:ascii="Aptos" w:hAnsi="Aptos"/>
                <w:b/>
                <w:color w:val="FFFFFF"/>
                <w:sz w:val="17"/>
              </w:rPr>
              <w:t>Phase</w:t>
            </w:r>
          </w:p>
        </w:tc>
        <w:tc>
          <w:tcPr>
            <w:tcW w:type="dxa" w:w="2880"/>
            <w:shd w:fill="16233A"/>
            <w:vAlign w:val="center"/>
          </w:tcPr>
          <w:p>
            <w:pPr>
              <w:spacing w:after="0"/>
            </w:pPr>
            <w:r/>
            <w:r>
              <w:rPr>
                <w:rFonts w:ascii="Aptos" w:hAnsi="Aptos"/>
                <w:b/>
                <w:color w:val="FFFFFF"/>
                <w:sz w:val="17"/>
              </w:rPr>
              <w:t>Objective</w:t>
            </w:r>
          </w:p>
        </w:tc>
        <w:tc>
          <w:tcPr>
            <w:tcW w:type="dxa" w:w="5616"/>
            <w:shd w:fill="16233A"/>
            <w:vAlign w:val="center"/>
          </w:tcPr>
          <w:p>
            <w:pPr>
              <w:spacing w:after="0"/>
            </w:pPr>
            <w:r/>
            <w:r>
              <w:rPr>
                <w:rFonts w:ascii="Aptos" w:hAnsi="Aptos"/>
                <w:b/>
                <w:color w:val="FFFFFF"/>
                <w:sz w:val="17"/>
              </w:rPr>
              <w:t>Required outcomes</w:t>
            </w:r>
          </w:p>
        </w:tc>
      </w:tr>
      <w:tr>
        <w:tc>
          <w:tcPr>
            <w:tcW w:type="dxa" w:w="2016"/>
            <w:vAlign w:val="center"/>
          </w:tcPr>
          <w:p>
            <w:pPr>
              <w:spacing w:after="0"/>
            </w:pPr>
            <w:r/>
            <w:r>
              <w:rPr>
                <w:rFonts w:ascii="Aptos" w:hAnsi="Aptos"/>
                <w:b w:val="0"/>
                <w:sz w:val="17"/>
              </w:rPr>
              <w:t>0-7 days: stop-the-line</w:t>
            </w:r>
          </w:p>
        </w:tc>
        <w:tc>
          <w:tcPr>
            <w:tcW w:type="dxa" w:w="2880"/>
            <w:vAlign w:val="center"/>
          </w:tcPr>
          <w:p>
            <w:pPr>
              <w:spacing w:after="0"/>
            </w:pPr>
            <w:r/>
            <w:r>
              <w:rPr>
                <w:rFonts w:ascii="Aptos" w:hAnsi="Aptos"/>
                <w:b w:val="0"/>
                <w:sz w:val="17"/>
              </w:rPr>
              <w:t>Remove critical safety/integrity failures</w:t>
            </w:r>
          </w:p>
        </w:tc>
        <w:tc>
          <w:tcPr>
            <w:tcW w:type="dxa" w:w="5616"/>
            <w:vAlign w:val="center"/>
          </w:tcPr>
          <w:p>
            <w:pPr>
              <w:spacing w:after="0"/>
            </w:pPr>
            <w:r/>
            <w:r>
              <w:rPr>
                <w:rFonts w:ascii="Aptos" w:hAnsi="Aptos"/>
                <w:b w:val="0"/>
                <w:sz w:val="17"/>
              </w:rPr>
              <w:t>Fail closed without sandbox; redact secrets; narrow dashboard root; stop live UI test injection; disable external/MCP/broad env by default; publish security warning</w:t>
            </w:r>
          </w:p>
        </w:tc>
      </w:tr>
      <w:tr>
        <w:tc>
          <w:tcPr>
            <w:tcW w:type="dxa" w:w="2016"/>
            <w:shd w:fill="F7F9FC"/>
            <w:vAlign w:val="center"/>
          </w:tcPr>
          <w:p>
            <w:pPr>
              <w:spacing w:after="0"/>
            </w:pPr>
            <w:r/>
            <w:r>
              <w:rPr>
                <w:rFonts w:ascii="Aptos" w:hAnsi="Aptos"/>
                <w:b w:val="0"/>
                <w:sz w:val="17"/>
              </w:rPr>
              <w:t>1-4 weeks: isolation release</w:t>
            </w:r>
          </w:p>
        </w:tc>
        <w:tc>
          <w:tcPr>
            <w:tcW w:type="dxa" w:w="2880"/>
            <w:shd w:fill="F7F9FC"/>
            <w:vAlign w:val="center"/>
          </w:tcPr>
          <w:p>
            <w:pPr>
              <w:spacing w:after="0"/>
            </w:pPr>
            <w:r/>
            <w:r>
              <w:rPr>
                <w:rFonts w:ascii="Aptos" w:hAnsi="Aptos"/>
                <w:b w:val="0"/>
                <w:sz w:val="17"/>
              </w:rPr>
              <w:t>Create trustworthy execution boundaries</w:t>
            </w:r>
          </w:p>
        </w:tc>
        <w:tc>
          <w:tcPr>
            <w:tcW w:type="dxa" w:w="5616"/>
            <w:shd w:fill="F7F9FC"/>
            <w:vAlign w:val="center"/>
          </w:tcPr>
          <w:p>
            <w:pPr>
              <w:spacing w:after="0"/>
            </w:pPr>
            <w:r/>
            <w:r>
              <w:rPr>
                <w:rFonts w:ascii="Aptos" w:hAnsi="Aptos"/>
                <w:b w:val="0"/>
                <w:sz w:val="17"/>
              </w:rPr>
              <w:t>Separate agent/verifier sandboxes; per-case mounts/containers; process-tree cleanup; path/schema validation; pids/disk/output limits; adversarial fixtures</w:t>
            </w:r>
          </w:p>
        </w:tc>
      </w:tr>
      <w:tr>
        <w:tc>
          <w:tcPr>
            <w:tcW w:type="dxa" w:w="2016"/>
            <w:vAlign w:val="center"/>
          </w:tcPr>
          <w:p>
            <w:pPr>
              <w:spacing w:after="0"/>
            </w:pPr>
            <w:r/>
            <w:r>
              <w:rPr>
                <w:rFonts w:ascii="Aptos" w:hAnsi="Aptos"/>
                <w:b w:val="0"/>
                <w:sz w:val="17"/>
              </w:rPr>
              <w:t>1-2 months: evidence/reproducibility</w:t>
            </w:r>
          </w:p>
        </w:tc>
        <w:tc>
          <w:tcPr>
            <w:tcW w:type="dxa" w:w="2880"/>
            <w:vAlign w:val="center"/>
          </w:tcPr>
          <w:p>
            <w:pPr>
              <w:spacing w:after="0"/>
            </w:pPr>
            <w:r/>
            <w:r>
              <w:rPr>
                <w:rFonts w:ascii="Aptos" w:hAnsi="Aptos"/>
                <w:b w:val="0"/>
                <w:sz w:val="17"/>
              </w:rPr>
              <w:t>Make comparisons scientifically defensible</w:t>
            </w:r>
          </w:p>
        </w:tc>
        <w:tc>
          <w:tcPr>
            <w:tcW w:type="dxa" w:w="5616"/>
            <w:vAlign w:val="center"/>
          </w:tcPr>
          <w:p>
            <w:pPr>
              <w:spacing w:after="0"/>
            </w:pPr>
            <w:r/>
            <w:r>
              <w:rPr>
                <w:rFonts w:ascii="Aptos" w:hAnsi="Aptos"/>
                <w:b w:val="0"/>
                <w:sz w:val="17"/>
              </w:rPr>
              <w:t>Immutable manifest/digests, case-set compatibility, metric provenance, correct trial aggregation, reject empty sets, exact provider identity</w:t>
            </w:r>
          </w:p>
        </w:tc>
      </w:tr>
      <w:tr>
        <w:tc>
          <w:tcPr>
            <w:tcW w:type="dxa" w:w="2016"/>
            <w:shd w:fill="F7F9FC"/>
            <w:vAlign w:val="center"/>
          </w:tcPr>
          <w:p>
            <w:pPr>
              <w:spacing w:after="0"/>
            </w:pPr>
            <w:r/>
            <w:r>
              <w:rPr>
                <w:rFonts w:ascii="Aptos" w:hAnsi="Aptos"/>
                <w:b w:val="0"/>
                <w:sz w:val="17"/>
              </w:rPr>
              <w:t>2-3 months: release engineering</w:t>
            </w:r>
          </w:p>
        </w:tc>
        <w:tc>
          <w:tcPr>
            <w:tcW w:type="dxa" w:w="2880"/>
            <w:shd w:fill="F7F9FC"/>
            <w:vAlign w:val="center"/>
          </w:tcPr>
          <w:p>
            <w:pPr>
              <w:spacing w:after="0"/>
            </w:pPr>
            <w:r/>
            <w:r>
              <w:rPr>
                <w:rFonts w:ascii="Aptos" w:hAnsi="Aptos"/>
                <w:b w:val="0"/>
                <w:sz w:val="17"/>
              </w:rPr>
              <w:t>Make installation and docs true</w:t>
            </w:r>
          </w:p>
        </w:tc>
        <w:tc>
          <w:tcPr>
            <w:tcW w:type="dxa" w:w="5616"/>
            <w:shd w:fill="F7F9FC"/>
            <w:vAlign w:val="center"/>
          </w:tcPr>
          <w:p>
            <w:pPr>
              <w:spacing w:after="0"/>
            </w:pPr>
            <w:r/>
            <w:r>
              <w:rPr>
                <w:rFonts w:ascii="Aptos" w:hAnsi="Aptos"/>
                <w:b w:val="0"/>
                <w:sz w:val="17"/>
              </w:rPr>
              <w:t>Complete wheel/resources or source-only policy; installed smoke tests; OS/Python matrix; JS/dashboard/docs CI; dependency and action pinning</w:t>
            </w:r>
          </w:p>
        </w:tc>
      </w:tr>
      <w:tr>
        <w:tc>
          <w:tcPr>
            <w:tcW w:type="dxa" w:w="2016"/>
            <w:vAlign w:val="center"/>
          </w:tcPr>
          <w:p>
            <w:pPr>
              <w:spacing w:after="0"/>
            </w:pPr>
            <w:r/>
            <w:r>
              <w:rPr>
                <w:rFonts w:ascii="Aptos" w:hAnsi="Aptos"/>
                <w:b w:val="0"/>
                <w:sz w:val="17"/>
              </w:rPr>
              <w:t>3-6 months: product moat</w:t>
            </w:r>
          </w:p>
        </w:tc>
        <w:tc>
          <w:tcPr>
            <w:tcW w:type="dxa" w:w="2880"/>
            <w:vAlign w:val="center"/>
          </w:tcPr>
          <w:p>
            <w:pPr>
              <w:spacing w:after="0"/>
            </w:pPr>
            <w:r/>
            <w:r>
              <w:rPr>
                <w:rFonts w:ascii="Aptos" w:hAnsi="Aptos"/>
                <w:b w:val="0"/>
                <w:sz w:val="17"/>
              </w:rPr>
              <w:t>Own real-client acceptance testing</w:t>
            </w:r>
          </w:p>
        </w:tc>
        <w:tc>
          <w:tcPr>
            <w:tcW w:type="dxa" w:w="5616"/>
            <w:vAlign w:val="center"/>
          </w:tcPr>
          <w:p>
            <w:pPr>
              <w:spacing w:after="0"/>
            </w:pPr>
            <w:r/>
            <w:r>
              <w:rPr>
                <w:rFonts w:ascii="Aptos" w:hAnsi="Aptos"/>
                <w:b w:val="0"/>
                <w:sz w:val="17"/>
              </w:rPr>
              <w:t>Stable UI drivers, repeatable trials, trajectory/approval/tool-policy assertions, private packs, import/export bridges for Inspect/Harbor/LangSmith/Braintrust</w:t>
            </w:r>
          </w:p>
        </w:tc>
      </w:tr>
      <w:tr>
        <w:tc>
          <w:tcPr>
            <w:tcW w:type="dxa" w:w="2016"/>
            <w:shd w:fill="F7F9FC"/>
            <w:vAlign w:val="center"/>
          </w:tcPr>
          <w:p>
            <w:pPr>
              <w:spacing w:after="0"/>
            </w:pPr>
            <w:r/>
            <w:r>
              <w:rPr>
                <w:rFonts w:ascii="Aptos" w:hAnsi="Aptos"/>
                <w:b w:val="0"/>
                <w:sz w:val="17"/>
              </w:rPr>
              <w:t>6+ months: scale selectively</w:t>
            </w:r>
          </w:p>
        </w:tc>
        <w:tc>
          <w:tcPr>
            <w:tcW w:type="dxa" w:w="2880"/>
            <w:shd w:fill="F7F9FC"/>
            <w:vAlign w:val="center"/>
          </w:tcPr>
          <w:p>
            <w:pPr>
              <w:spacing w:after="0"/>
            </w:pPr>
            <w:r/>
            <w:r>
              <w:rPr>
                <w:rFonts w:ascii="Aptos" w:hAnsi="Aptos"/>
                <w:b w:val="0"/>
                <w:sz w:val="17"/>
              </w:rPr>
              <w:t>Add team value without losing local-first</w:t>
            </w:r>
          </w:p>
        </w:tc>
        <w:tc>
          <w:tcPr>
            <w:tcW w:type="dxa" w:w="5616"/>
            <w:shd w:fill="F7F9FC"/>
            <w:vAlign w:val="center"/>
          </w:tcPr>
          <w:p>
            <w:pPr>
              <w:spacing w:after="0"/>
            </w:pPr>
            <w:r/>
            <w:r>
              <w:rPr>
                <w:rFonts w:ascii="Aptos" w:hAnsi="Aptos"/>
                <w:b w:val="0"/>
                <w:sz w:val="17"/>
              </w:rPr>
              <w:t>Optional remote sandbox workers, signed shared result bundles, case-pack registry, team trend/baseline review—not mandatory hosted telemetry</w:t>
            </w:r>
          </w:p>
        </w:tc>
      </w:tr>
    </w:tbl>
    <w:p>
      <w:pPr>
        <w:spacing w:after="0"/>
      </w:pPr>
    </w:p>
    <w:p>
      <w:pPr>
        <w:pStyle w:val="Heading1"/>
      </w:pPr>
      <w:r>
        <w:t>11. Recommended release gates / definition of done</w:t>
      </w:r>
    </w:p>
    <w:p>
      <w:pPr>
        <w:pStyle w:val="ListBullet"/>
      </w:pPr>
      <w:r>
        <w:t>No secret canary appears in any artifact, log, exception or HTTP response.</w:t>
      </w:r>
    </w:p>
    <w:p>
      <w:pPr>
        <w:pStyle w:val="ListBullet"/>
      </w:pPr>
      <w:r>
        <w:t>Docker/sandbox unavailable =&gt; non-zero refusal; host execution requires explicit unsafe opt-in.</w:t>
      </w:r>
    </w:p>
    <w:p>
      <w:pPr>
        <w:pStyle w:val="ListBullet"/>
      </w:pPr>
      <w:r>
        <w:t>Agent cannot read parent files, host secrets, sibling cases, hidden tests, Docker socket or network unless declared.</w:t>
      </w:r>
    </w:p>
    <w:p>
      <w:pPr>
        <w:pStyle w:val="ListBullet"/>
      </w:pPr>
      <w:r>
        <w:t>UI agent never observes test_setup_files; Python and UI produce conformance-identical oracle inputs/results.</w:t>
      </w:r>
    </w:p>
    <w:p>
      <w:pPr>
        <w:pStyle w:val="ListBullet"/>
      </w:pPr>
      <w:r>
        <w:t>Every case has a passing reference and failing variant; verify-corpus skipped count is zero.</w:t>
      </w:r>
    </w:p>
    <w:p>
      <w:pPr>
        <w:pStyle w:val="ListBullet"/>
      </w:pPr>
      <w:r>
        <w:t>Every run records immutable case/oracle/image/driver/provider/policy/pricing identities.</w:t>
      </w:r>
    </w:p>
    <w:p>
      <w:pPr>
        <w:pStyle w:val="ListBullet"/>
      </w:pPr>
      <w:r>
        <w:t>Comparisons suppress winners for incompatible manifests or unknown cost telemetry.</w:t>
      </w:r>
    </w:p>
    <w:p>
      <w:pPr>
        <w:pStyle w:val="ListBullet"/>
      </w:pPr>
      <w:r>
        <w:t>Empty case resolution, malformed schemas and ambiguous run references fail before paid work.</w:t>
      </w:r>
    </w:p>
    <w:p>
      <w:pPr>
        <w:pStyle w:val="ListBullet"/>
      </w:pPr>
      <w:r>
        <w:t>Installed-wheel smoke, OS/Python matrix, JS/dashboard/docs builds and adversarial sandbox tests are required CI checks.</w:t>
      </w:r>
    </w:p>
    <w:p>
      <w:pPr>
        <w:pStyle w:val="ListBullet"/>
      </w:pPr>
      <w:r>
        <w:t>All GitHub Actions and verifier images are immutable/pinned; no high/critical production/build advisories without an approved exception.</w:t>
      </w:r>
    </w:p>
    <w:p>
      <w:pPr>
        <w:pStyle w:val="Heading1"/>
      </w:pPr>
      <w:r>
        <w:t>12. Sources</w:t>
      </w:r>
    </w:p>
    <w:p>
      <w:pPr>
        <w:pStyle w:val="ListBullet"/>
      </w:pPr>
      <w:hyperlink r:id="rId11">
        <w:r>
          <w:rPr>
            <w:color w:val="2457A7"/>
            <w:u w:val="single"/>
          </w:rPr>
          <w:t>Promptfoo – Evaluate Coding Agents</w:t>
        </w:r>
      </w:hyperlink>
    </w:p>
    <w:p>
      <w:pPr>
        <w:pStyle w:val="ListBullet"/>
      </w:pPr>
      <w:hyperlink r:id="rId12">
        <w:r>
          <w:rPr>
            <w:color w:val="2457A7"/>
            <w:u w:val="single"/>
          </w:rPr>
          <w:t>Harbor – Motivation and agent integrations</w:t>
        </w:r>
      </w:hyperlink>
    </w:p>
    <w:p>
      <w:pPr>
        <w:pStyle w:val="ListBullet"/>
      </w:pPr>
      <w:hyperlink r:id="rId13">
        <w:r>
          <w:rPr>
            <w:color w:val="2457A7"/>
            <w:u w:val="single"/>
          </w:rPr>
          <w:t>Harbor – Agents</w:t>
        </w:r>
      </w:hyperlink>
    </w:p>
    <w:p>
      <w:pPr>
        <w:pStyle w:val="ListBullet"/>
      </w:pPr>
      <w:hyperlink r:id="rId14">
        <w:r>
          <w:rPr>
            <w:color w:val="2457A7"/>
            <w:u w:val="single"/>
          </w:rPr>
          <w:t>Inspect AI – evaluation and sandbox capabilities</w:t>
        </w:r>
      </w:hyperlink>
    </w:p>
    <w:p>
      <w:pPr>
        <w:pStyle w:val="ListBullet"/>
      </w:pPr>
      <w:hyperlink r:id="rId15">
        <w:r>
          <w:rPr>
            <w:color w:val="2457A7"/>
            <w:u w:val="single"/>
          </w:rPr>
          <w:t>Terminal-Bench – current benchmarks</w:t>
        </w:r>
      </w:hyperlink>
    </w:p>
    <w:p>
      <w:pPr>
        <w:pStyle w:val="ListBullet"/>
      </w:pPr>
      <w:hyperlink r:id="rId16">
        <w:r>
          <w:rPr>
            <w:color w:val="2457A7"/>
            <w:u w:val="single"/>
          </w:rPr>
          <w:t>SWE-bench – official leaderboards and benchmark family</w:t>
        </w:r>
      </w:hyperlink>
    </w:p>
    <w:p>
      <w:pPr>
        <w:pStyle w:val="ListBullet"/>
      </w:pPr>
      <w:hyperlink r:id="rId17">
        <w:r>
          <w:rPr>
            <w:color w:val="2457A7"/>
            <w:u w:val="single"/>
          </w:rPr>
          <w:t>Aider – LLM leaderboards</w:t>
        </w:r>
      </w:hyperlink>
    </w:p>
    <w:p>
      <w:pPr>
        <w:pStyle w:val="ListBullet"/>
      </w:pPr>
      <w:hyperlink r:id="rId18">
        <w:r>
          <w:rPr>
            <w:color w:val="2457A7"/>
            <w:u w:val="single"/>
          </w:rPr>
          <w:t>LangSmith – evaluation</w:t>
        </w:r>
      </w:hyperlink>
    </w:p>
    <w:p>
      <w:pPr>
        <w:pStyle w:val="ListBullet"/>
      </w:pPr>
      <w:hyperlink r:id="rId19">
        <w:r>
          <w:rPr>
            <w:color w:val="2457A7"/>
            <w:u w:val="single"/>
          </w:rPr>
          <w:t>Braintrust – evaluate systematically</w:t>
        </w:r>
      </w:hyperlink>
    </w:p>
    <w:p>
      <w:pPr>
        <w:pStyle w:val="ListBullet"/>
      </w:pPr>
      <w:hyperlink r:id="rId20">
        <w:r>
          <w:rPr>
            <w:color w:val="2457A7"/>
            <w:u w:val="single"/>
          </w:rPr>
          <w:t>GitHub – secure use of Actions</w:t>
        </w:r>
      </w:hyperlink>
    </w:p>
    <w:p>
      <w:pPr>
        <w:pStyle w:val="ListBullet"/>
      </w:pPr>
      <w:hyperlink r:id="rId21">
        <w:r>
          <w:rPr>
            <w:color w:val="2457A7"/>
            <w:u w:val="single"/>
          </w:rPr>
          <w:t>Docker – Engine security</w:t>
        </w:r>
      </w:hyperlink>
    </w:p>
    <w:p>
      <w:pPr>
        <w:pStyle w:val="ListBullet"/>
      </w:pPr>
      <w:hyperlink r:id="rId22">
        <w:r>
          <w:rPr>
            <w:color w:val="2457A7"/>
            <w:u w:val="single"/>
          </w:rPr>
          <w:t>Docker – seccomp profiles</w:t>
        </w:r>
      </w:hyperlink>
    </w:p>
    <w:p>
      <w:pPr>
        <w:pStyle w:val="ListBullet"/>
      </w:pPr>
      <w:hyperlink r:id="rId23">
        <w:r>
          <w:rPr>
            <w:color w:val="2457A7"/>
            <w:u w:val="single"/>
          </w:rPr>
          <w:t>OWASP – AI Agent Security Cheat Sheet</w:t>
        </w:r>
      </w:hyperlink>
    </w:p>
    <w:p>
      <w:pPr>
        <w:pStyle w:val="ListBullet"/>
      </w:pPr>
      <w:hyperlink r:id="rId24">
        <w:r>
          <w:rPr>
            <w:color w:val="2457A7"/>
            <w:u w:val="single"/>
          </w:rPr>
          <w:t>GitHub Advisory – serialize-javascript RCE</w:t>
        </w:r>
      </w:hyperlink>
    </w:p>
    <w:p>
      <w:pPr>
        <w:pStyle w:val="ListBullet"/>
      </w:pPr>
      <w:hyperlink r:id="rId25">
        <w:r>
          <w:rPr>
            <w:color w:val="2457A7"/>
            <w:u w:val="single"/>
          </w:rPr>
          <w:t>OpenAI – Separating signal from noise in coding evaluations</w:t>
        </w:r>
      </w:hyperlink>
    </w:p>
    <w:p>
      <w:pPr>
        <w:pStyle w:val="Heading1"/>
      </w:pPr>
      <w:r>
        <w:t>Appendix A. Repository evidence 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6233A"/>
            <w:vAlign w:val="center"/>
          </w:tcPr>
          <w:p>
            <w:pPr>
              <w:spacing w:after="0"/>
            </w:pPr>
            <w:r/>
            <w:r>
              <w:rPr>
                <w:rFonts w:ascii="Aptos" w:hAnsi="Aptos"/>
                <w:b/>
                <w:color w:val="FFFFFF"/>
                <w:sz w:val="17"/>
              </w:rPr>
              <w:t>Area</w:t>
            </w:r>
          </w:p>
        </w:tc>
        <w:tc>
          <w:tcPr>
            <w:tcW w:type="dxa" w:w="6912"/>
            <w:shd w:fill="16233A"/>
            <w:vAlign w:val="center"/>
          </w:tcPr>
          <w:p>
            <w:pPr>
              <w:spacing w:after="0"/>
            </w:pPr>
            <w:r/>
            <w:r>
              <w:rPr>
                <w:rFonts w:ascii="Aptos" w:hAnsi="Aptos"/>
                <w:b/>
                <w:color w:val="FFFFFF"/>
                <w:sz w:val="17"/>
              </w:rPr>
              <w:t>Primary local evidence</w:t>
            </w:r>
          </w:p>
        </w:tc>
      </w:tr>
      <w:tr>
        <w:tc>
          <w:tcPr>
            <w:tcW w:type="dxa" w:w="3024"/>
            <w:vAlign w:val="center"/>
          </w:tcPr>
          <w:p>
            <w:pPr>
              <w:spacing w:after="0"/>
            </w:pPr>
            <w:r/>
            <w:r>
              <w:rPr>
                <w:rFonts w:ascii="Aptos" w:hAnsi="Aptos"/>
                <w:b w:val="0"/>
                <w:sz w:val="17"/>
              </w:rPr>
              <w:t>Secrets/results/server</w:t>
            </w:r>
          </w:p>
        </w:tc>
        <w:tc>
          <w:tcPr>
            <w:tcW w:type="dxa" w:w="6912"/>
            <w:vAlign w:val="center"/>
          </w:tcPr>
          <w:p>
            <w:pPr>
              <w:spacing w:after="0"/>
            </w:pPr>
            <w:r/>
            <w:r>
              <w:rPr>
                <w:rFonts w:ascii="Aptos" w:hAnsi="Aptos"/>
                <w:b w:val="0"/>
                <w:sz w:val="17"/>
              </w:rPr>
              <w:t>optarena/scenario.py; store.py; cli.py</w:t>
            </w:r>
          </w:p>
        </w:tc>
      </w:tr>
      <w:tr>
        <w:tc>
          <w:tcPr>
            <w:tcW w:type="dxa" w:w="3024"/>
            <w:shd w:fill="F7F9FC"/>
            <w:vAlign w:val="center"/>
          </w:tcPr>
          <w:p>
            <w:pPr>
              <w:spacing w:after="0"/>
            </w:pPr>
            <w:r/>
            <w:r>
              <w:rPr>
                <w:rFonts w:ascii="Aptos" w:hAnsi="Aptos"/>
                <w:b w:val="0"/>
                <w:sz w:val="17"/>
              </w:rPr>
              <w:t>Sandbox and host fallback</w:t>
            </w:r>
          </w:p>
        </w:tc>
        <w:tc>
          <w:tcPr>
            <w:tcW w:type="dxa" w:w="6912"/>
            <w:shd w:fill="F7F9FC"/>
            <w:vAlign w:val="center"/>
          </w:tcPr>
          <w:p>
            <w:pPr>
              <w:spacing w:after="0"/>
            </w:pPr>
            <w:r/>
            <w:r>
              <w:rPr>
                <w:rFonts w:ascii="Aptos" w:hAnsi="Aptos"/>
                <w:b w:val="0"/>
                <w:sz w:val="17"/>
              </w:rPr>
              <w:t>optarena/cases.py; ui-harness/src/oracle.js</w:t>
            </w:r>
          </w:p>
        </w:tc>
      </w:tr>
      <w:tr>
        <w:tc>
          <w:tcPr>
            <w:tcW w:type="dxa" w:w="3024"/>
            <w:vAlign w:val="center"/>
          </w:tcPr>
          <w:p>
            <w:pPr>
              <w:spacing w:after="0"/>
            </w:pPr>
            <w:r/>
            <w:r>
              <w:rPr>
                <w:rFonts w:ascii="Aptos" w:hAnsi="Aptos"/>
                <w:b w:val="0"/>
                <w:sz w:val="17"/>
              </w:rPr>
              <w:t>Agent permissions</w:t>
            </w:r>
          </w:p>
        </w:tc>
        <w:tc>
          <w:tcPr>
            <w:tcW w:type="dxa" w:w="6912"/>
            <w:vAlign w:val="center"/>
          </w:tcPr>
          <w:p>
            <w:pPr>
              <w:spacing w:after="0"/>
            </w:pPr>
            <w:r/>
            <w:r>
              <w:rPr>
                <w:rFonts w:ascii="Aptos" w:hAnsi="Aptos"/>
                <w:b w:val="0"/>
                <w:sz w:val="17"/>
              </w:rPr>
              <w:t>optarena/drivers/cli_agents.py; aider_cli.py; ui-harness/src/extensions.js</w:t>
            </w:r>
          </w:p>
        </w:tc>
      </w:tr>
      <w:tr>
        <w:tc>
          <w:tcPr>
            <w:tcW w:type="dxa" w:w="3024"/>
            <w:shd w:fill="F7F9FC"/>
            <w:vAlign w:val="center"/>
          </w:tcPr>
          <w:p>
            <w:pPr>
              <w:spacing w:after="0"/>
            </w:pPr>
            <w:r/>
            <w:r>
              <w:rPr>
                <w:rFonts w:ascii="Aptos" w:hAnsi="Aptos"/>
                <w:b w:val="0"/>
                <w:sz w:val="17"/>
              </w:rPr>
              <w:t>UI hidden tests</w:t>
            </w:r>
          </w:p>
        </w:tc>
        <w:tc>
          <w:tcPr>
            <w:tcW w:type="dxa" w:w="6912"/>
            <w:shd w:fill="F7F9FC"/>
            <w:vAlign w:val="center"/>
          </w:tcPr>
          <w:p>
            <w:pPr>
              <w:spacing w:after="0"/>
            </w:pPr>
            <w:r/>
            <w:r>
              <w:rPr>
                <w:rFonts w:ascii="Aptos" w:hAnsi="Aptos"/>
                <w:b w:val="0"/>
                <w:sz w:val="17"/>
              </w:rPr>
              <w:t>ui-harness/test/agent.e2e.js; ui-harness/src/oracle.js</w:t>
            </w:r>
          </w:p>
        </w:tc>
      </w:tr>
      <w:tr>
        <w:tc>
          <w:tcPr>
            <w:tcW w:type="dxa" w:w="3024"/>
            <w:vAlign w:val="center"/>
          </w:tcPr>
          <w:p>
            <w:pPr>
              <w:spacing w:after="0"/>
            </w:pPr>
            <w:r/>
            <w:r>
              <w:rPr>
                <w:rFonts w:ascii="Aptos" w:hAnsi="Aptos"/>
                <w:b w:val="0"/>
                <w:sz w:val="17"/>
              </w:rPr>
              <w:t>Trials/parallel/temp</w:t>
            </w:r>
          </w:p>
        </w:tc>
        <w:tc>
          <w:tcPr>
            <w:tcW w:type="dxa" w:w="6912"/>
            <w:vAlign w:val="center"/>
          </w:tcPr>
          <w:p>
            <w:pPr>
              <w:spacing w:after="0"/>
            </w:pPr>
            <w:r/>
            <w:r>
              <w:rPr>
                <w:rFonts w:ascii="Aptos" w:hAnsi="Aptos"/>
                <w:b w:val="0"/>
                <w:sz w:val="17"/>
              </w:rPr>
              <w:t>optarena/runner.py; verify.py</w:t>
            </w:r>
          </w:p>
        </w:tc>
      </w:tr>
      <w:tr>
        <w:tc>
          <w:tcPr>
            <w:tcW w:type="dxa" w:w="3024"/>
            <w:shd w:fill="F7F9FC"/>
            <w:vAlign w:val="center"/>
          </w:tcPr>
          <w:p>
            <w:pPr>
              <w:spacing w:after="0"/>
            </w:pPr>
            <w:r/>
            <w:r>
              <w:rPr>
                <w:rFonts w:ascii="Aptos" w:hAnsi="Aptos"/>
                <w:b w:val="0"/>
                <w:sz w:val="17"/>
              </w:rPr>
              <w:t>Metrics/pricing/comparison</w:t>
            </w:r>
          </w:p>
        </w:tc>
        <w:tc>
          <w:tcPr>
            <w:tcW w:type="dxa" w:w="6912"/>
            <w:shd w:fill="F7F9FC"/>
            <w:vAlign w:val="center"/>
          </w:tcPr>
          <w:p>
            <w:pPr>
              <w:spacing w:after="0"/>
            </w:pPr>
            <w:r/>
            <w:r>
              <w:rPr>
                <w:rFonts w:ascii="Aptos" w:hAnsi="Aptos"/>
                <w:b w:val="0"/>
                <w:sz w:val="17"/>
              </w:rPr>
              <w:t>optarena/metrics.py; pricing.py; compare.py; dashboard/index.html</w:t>
            </w:r>
          </w:p>
        </w:tc>
      </w:tr>
      <w:tr>
        <w:tc>
          <w:tcPr>
            <w:tcW w:type="dxa" w:w="3024"/>
            <w:vAlign w:val="center"/>
          </w:tcPr>
          <w:p>
            <w:pPr>
              <w:spacing w:after="0"/>
            </w:pPr>
            <w:r/>
            <w:r>
              <w:rPr>
                <w:rFonts w:ascii="Aptos" w:hAnsi="Aptos"/>
                <w:b w:val="0"/>
                <w:sz w:val="17"/>
              </w:rPr>
              <w:t>Packaging</w:t>
            </w:r>
          </w:p>
        </w:tc>
        <w:tc>
          <w:tcPr>
            <w:tcW w:type="dxa" w:w="6912"/>
            <w:vAlign w:val="center"/>
          </w:tcPr>
          <w:p>
            <w:pPr>
              <w:spacing w:after="0"/>
            </w:pPr>
            <w:r/>
            <w:r>
              <w:rPr>
                <w:rFonts w:ascii="Aptos" w:hAnsi="Aptos"/>
                <w:b w:val="0"/>
                <w:sz w:val="17"/>
              </w:rPr>
              <w:t>pyproject.toml; inspected optarena-0.1.0 wheel</w:t>
            </w:r>
          </w:p>
        </w:tc>
      </w:tr>
      <w:tr>
        <w:tc>
          <w:tcPr>
            <w:tcW w:type="dxa" w:w="3024"/>
            <w:shd w:fill="F7F9FC"/>
            <w:vAlign w:val="center"/>
          </w:tcPr>
          <w:p>
            <w:pPr>
              <w:spacing w:after="0"/>
            </w:pPr>
            <w:r/>
            <w:r>
              <w:rPr>
                <w:rFonts w:ascii="Aptos" w:hAnsi="Aptos"/>
                <w:b w:val="0"/>
                <w:sz w:val="17"/>
              </w:rPr>
              <w:t>CI/supply chain</w:t>
            </w:r>
          </w:p>
        </w:tc>
        <w:tc>
          <w:tcPr>
            <w:tcW w:type="dxa" w:w="6912"/>
            <w:shd w:fill="F7F9FC"/>
            <w:vAlign w:val="center"/>
          </w:tcPr>
          <w:p>
            <w:pPr>
              <w:spacing w:after="0"/>
            </w:pPr>
            <w:r/>
            <w:r>
              <w:rPr>
                <w:rFonts w:ascii="Aptos" w:hAnsi="Aptos"/>
                <w:b w:val="0"/>
                <w:sz w:val="17"/>
              </w:rPr>
              <w:t>.github/workflows/*.yml; docker/**/Dockerfile</w:t>
            </w:r>
          </w:p>
        </w:tc>
      </w:tr>
      <w:tr>
        <w:tc>
          <w:tcPr>
            <w:tcW w:type="dxa" w:w="3024"/>
            <w:vAlign w:val="center"/>
          </w:tcPr>
          <w:p>
            <w:pPr>
              <w:spacing w:after="0"/>
            </w:pPr>
            <w:r/>
            <w:r>
              <w:rPr>
                <w:rFonts w:ascii="Aptos" w:hAnsi="Aptos"/>
                <w:b w:val="0"/>
                <w:sz w:val="17"/>
              </w:rPr>
              <w:t>Corpus</w:t>
            </w:r>
          </w:p>
        </w:tc>
        <w:tc>
          <w:tcPr>
            <w:tcW w:type="dxa" w:w="6912"/>
            <w:vAlign w:val="center"/>
          </w:tcPr>
          <w:p>
            <w:pPr>
              <w:spacing w:after="0"/>
            </w:pPr>
            <w:r/>
            <w:r>
              <w:rPr>
                <w:rFonts w:ascii="Aptos" w:hAnsi="Aptos"/>
                <w:b w:val="0"/>
                <w:sz w:val="17"/>
              </w:rPr>
              <w:t>optarena/cases/*.json; status.md; CORPUS_EXPANSION_PLAN.md</w:t>
            </w:r>
          </w:p>
        </w:tc>
      </w:tr>
      <w:tr>
        <w:tc>
          <w:tcPr>
            <w:tcW w:type="dxa" w:w="3024"/>
            <w:shd w:fill="F7F9FC"/>
            <w:vAlign w:val="center"/>
          </w:tcPr>
          <w:p>
            <w:pPr>
              <w:spacing w:after="0"/>
            </w:pPr>
            <w:r/>
            <w:r>
              <w:rPr>
                <w:rFonts w:ascii="Aptos" w:hAnsi="Aptos"/>
                <w:b w:val="0"/>
                <w:sz w:val="17"/>
              </w:rPr>
              <w:t>Docs</w:t>
            </w:r>
          </w:p>
        </w:tc>
        <w:tc>
          <w:tcPr>
            <w:tcW w:type="dxa" w:w="6912"/>
            <w:shd w:fill="F7F9FC"/>
            <w:vAlign w:val="center"/>
          </w:tcPr>
          <w:p>
            <w:pPr>
              <w:spacing w:after="0"/>
            </w:pPr>
            <w:r/>
            <w:r>
              <w:rPr>
                <w:rFonts w:ascii="Aptos" w:hAnsi="Aptos"/>
                <w:b w:val="0"/>
                <w:sz w:val="17"/>
              </w:rPr>
              <w:t>selfopt/optarena-docs docs/**; docusaurus.config.js; package-lock.json</w:t>
            </w:r>
          </w:p>
        </w:tc>
      </w:tr>
    </w:tbl>
    <w:p>
      <w:pPr>
        <w:spacing w:after="0"/>
      </w:pPr>
    </w:p>
    <w:p>
      <w:pPr>
        <w:pStyle w:val="Heading1"/>
      </w:pPr>
      <w:r>
        <w:t>Appendix B. Final assessment</w:t>
      </w:r>
    </w:p>
    <w:p>
      <w:r>
        <w:t>OptArena should continue. The core idea is useful, the implementation is understandable, and the corpus represents real effort. The correct next move is not adding more drivers or cases. It is turning the current harness into a trustworthy evaluation appliance: contain the agent, isolate the grader, protect secrets, make the manifest immutable, test adversarially, package it honestly, and generate documentation from the actual product. Once those foundations are in place, real UI-native coding-agent acceptance testing is a credible and differentiated product direction.</w:t>
      </w:r>
    </w:p>
    <w:sectPr w:rsidR="00FC693F" w:rsidRPr="0006063C" w:rsidSect="00034616">
      <w:headerReference w:type="default" r:id="rId9"/>
      <w:footerReference w:type="default" r:id="rId10"/>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573"/>
      </w:rPr>
      <w:t>OPTARENA  |  INDEPENDENT TECHNICAL, SECURITY &amp; PRODUCT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33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7A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romptfoo.dev/docs/guides/evaluate-coding-agents/" TargetMode="External"/><Relationship Id="rId12" Type="http://schemas.openxmlformats.org/officeDocument/2006/relationships/hyperlink" Target="https://www.harborframework.com/docs" TargetMode="External"/><Relationship Id="rId13" Type="http://schemas.openxmlformats.org/officeDocument/2006/relationships/hyperlink" Target="https://www.harborframework.com/docs/agents" TargetMode="External"/><Relationship Id="rId14" Type="http://schemas.openxmlformats.org/officeDocument/2006/relationships/hyperlink" Target="https://inspect.aisi.org.uk/" TargetMode="External"/><Relationship Id="rId15" Type="http://schemas.openxmlformats.org/officeDocument/2006/relationships/hyperlink" Target="https://www.tbench.ai/benchmarks" TargetMode="External"/><Relationship Id="rId16" Type="http://schemas.openxmlformats.org/officeDocument/2006/relationships/hyperlink" Target="https://www.swebench.com/" TargetMode="External"/><Relationship Id="rId17" Type="http://schemas.openxmlformats.org/officeDocument/2006/relationships/hyperlink" Target="https://aider.chat/docs/leaderboards/" TargetMode="External"/><Relationship Id="rId18" Type="http://schemas.openxmlformats.org/officeDocument/2006/relationships/hyperlink" Target="https://docs.langchain.com/langsmith/evaluation" TargetMode="External"/><Relationship Id="rId19" Type="http://schemas.openxmlformats.org/officeDocument/2006/relationships/hyperlink" Target="https://www.braintrust.dev/docs/evaluate" TargetMode="External"/><Relationship Id="rId20" Type="http://schemas.openxmlformats.org/officeDocument/2006/relationships/hyperlink" Target="https://docs.github.com/en/actions/reference/security/secure-use" TargetMode="External"/><Relationship Id="rId21" Type="http://schemas.openxmlformats.org/officeDocument/2006/relationships/hyperlink" Target="https://docs.docker.com/engine/security/" TargetMode="External"/><Relationship Id="rId22" Type="http://schemas.openxmlformats.org/officeDocument/2006/relationships/hyperlink" Target="https://docs.docker.com/engine/security/seccomp/" TargetMode="External"/><Relationship Id="rId23" Type="http://schemas.openxmlformats.org/officeDocument/2006/relationships/hyperlink" Target="https://cheatsheetseries.owasp.org/cheatsheets/AI_Agent_Security_Cheat_Sheet.html" TargetMode="External"/><Relationship Id="rId24" Type="http://schemas.openxmlformats.org/officeDocument/2006/relationships/hyperlink" Target="https://github.com/advisories/GHSA-5c6j-r48x-rmvq" TargetMode="External"/><Relationship Id="rId25" Type="http://schemas.openxmlformats.org/officeDocument/2006/relationships/hyperlink" Target="https://openai.com/index/separating-signal-from-noise-coding-evalu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OptArena Comprehensive AI, Software Engineering, Security, Abuse &amp; Market Audit</dc:title>
  <dc:subject>Independent audit of optarena and optarena-docs</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