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</w:pPr>
      <w:r>
        <w:rPr>
          <w:rFonts w:ascii="Calibri" w:hAnsi="Calibri" w:eastAsia="Microsoft YaHei"/>
          <w:color w:val="2E74B5"/>
          <w:sz w:val="28"/>
        </w:rPr>
        <w:t>8005 多仓位 AGV</w:t>
      </w:r>
    </w:p>
    <w:p>
      <w:pPr>
        <w:spacing w:after="560"/>
      </w:pPr>
      <w:r>
        <w:rPr>
          <w:rFonts w:ascii="Calibri" w:hAnsi="Calibri" w:eastAsia="Microsoft YaHei"/>
          <w:color w:val="2E74B5"/>
          <w:sz w:val="20"/>
        </w:rPr>
        <w:t>━━━━━━━━━━━━━━━━━━━━━━━━━━━━━━━━━━━━</w:t>
      </w:r>
    </w:p>
    <w:p>
      <w:pPr>
        <w:pStyle w:val="Title"/>
        <w:keepLines w:val="0"/>
        <w:widowControl/>
      </w:pPr>
      <w:r>
        <w:rPr>
          <w:rFonts w:ascii="Calibri" w:hAnsi="Calibri" w:eastAsia="Microsoft YaHei"/>
          <w:color w:val="17365D"/>
        </w:rPr>
        <w:t>WIRE_TO_GATE MVP</w:t>
      </w:r>
    </w:p>
    <w:p>
      <w:pPr>
        <w:pStyle w:val="Title"/>
        <w:keepLines w:val="0"/>
        <w:widowControl/>
      </w:pPr>
      <w:r>
        <w:rPr>
          <w:rFonts w:ascii="Calibri" w:hAnsi="Calibri" w:eastAsia="Microsoft YaHei"/>
          <w:color w:val="17365D"/>
        </w:rPr>
        <w:t>需求规格说明书</w:t>
      </w:r>
    </w:p>
    <w:p>
      <w:pPr>
        <w:pStyle w:val="Subtitle"/>
        <w:keepLines w:val="0"/>
        <w:widowControl/>
      </w:pPr>
      <w:r>
        <w:rPr>
          <w:rFonts w:ascii="Calibri" w:hAnsi="Calibri" w:eastAsia="Microsoft YaHei"/>
          <w:color w:val="222222"/>
        </w:rPr>
        <w:t>领导评审版｜单场景范围、跨端边界、安全门禁与工厂试运行</w:t>
      </w:r>
    </w:p>
    <w:p>
      <w:pPr>
        <w:spacing w:after="400"/>
      </w:pPr>
    </w:p>
    <w:p>
      <w:pPr>
        <w:keepLines w:val="0"/>
        <w:widowControl/>
      </w:pPr>
      <w:r>
        <w:rPr>
          <w:rFonts w:ascii="Calibri" w:hAnsi="Calibri" w:eastAsia="Microsoft YaHei"/>
          <w:b/>
          <w:color w:val="222222"/>
          <w:sz w:val="21"/>
        </w:rPr>
        <w:t>文档版本：</w:t>
      </w:r>
      <w:r>
        <w:rPr>
          <w:rFonts w:ascii="Calibri" w:hAnsi="Calibri" w:eastAsia="Microsoft YaHei"/>
          <w:color w:val="222222"/>
          <w:sz w:val="21"/>
        </w:rPr>
        <w:t>v1.0.0</w:t>
      </w:r>
    </w:p>
    <w:p>
      <w:pPr>
        <w:keepLines w:val="0"/>
        <w:widowControl/>
      </w:pPr>
      <w:r>
        <w:rPr>
          <w:rFonts w:ascii="Calibri" w:hAnsi="Calibri" w:eastAsia="Microsoft YaHei"/>
          <w:b/>
          <w:color w:val="222222"/>
          <w:sz w:val="21"/>
        </w:rPr>
        <w:t>文档状态：</w:t>
      </w:r>
      <w:r>
        <w:rPr>
          <w:rFonts w:ascii="Calibri" w:hAnsi="Calibri" w:eastAsia="Microsoft YaHei"/>
          <w:color w:val="222222"/>
          <w:sz w:val="21"/>
        </w:rPr>
        <w:t>领导评审稿；规划规格与实施交接已接受，真实实现与发布门禁未完成</w:t>
      </w:r>
    </w:p>
    <w:p>
      <w:pPr>
        <w:keepLines w:val="0"/>
        <w:widowControl/>
      </w:pPr>
      <w:r>
        <w:rPr>
          <w:rFonts w:ascii="Calibri" w:hAnsi="Calibri" w:eastAsia="Microsoft YaHei"/>
          <w:b/>
          <w:color w:val="222222"/>
          <w:sz w:val="21"/>
        </w:rPr>
        <w:t>适用场景：</w:t>
      </w:r>
      <w:r>
        <w:rPr>
          <w:rFonts w:ascii="Calibri" w:hAnsi="Calibri" w:eastAsia="Microsoft YaHei"/>
          <w:color w:val="222222"/>
          <w:sz w:val="21"/>
        </w:rPr>
        <w:t>单车、单 Demand、WIRE_TO_GATE、多仓整批装卸</w:t>
      </w:r>
    </w:p>
    <w:p>
      <w:pPr>
        <w:keepLines w:val="0"/>
        <w:widowControl/>
      </w:pPr>
      <w:r>
        <w:rPr>
          <w:rFonts w:ascii="Calibri" w:hAnsi="Calibri" w:eastAsia="Microsoft YaHei"/>
          <w:b/>
          <w:color w:val="222222"/>
          <w:sz w:val="21"/>
        </w:rPr>
        <w:t>编制日期：</w:t>
      </w:r>
      <w:r>
        <w:rPr>
          <w:rFonts w:ascii="Calibri" w:hAnsi="Calibri" w:eastAsia="Microsoft YaHei"/>
          <w:color w:val="222222"/>
          <w:sz w:val="21"/>
        </w:rPr>
        <w:t>2026-08-25</w:t>
      </w:r>
    </w:p>
    <w:p>
      <w:pPr>
        <w:keepLines w:val="0"/>
        <w:widowControl/>
      </w:pPr>
      <w:r>
        <w:rPr>
          <w:rFonts w:ascii="Calibri" w:hAnsi="Calibri" w:eastAsia="Microsoft YaHei"/>
          <w:b/>
          <w:color w:val="222222"/>
          <w:sz w:val="21"/>
        </w:rPr>
        <w:t>适用组织：</w:t>
      </w:r>
      <w:r>
        <w:rPr>
          <w:rFonts w:ascii="Calibri" w:hAnsi="Calibri" w:eastAsia="Microsoft YaHei"/>
          <w:color w:val="222222"/>
          <w:sz w:val="21"/>
        </w:rPr>
        <w:t>项目领导、ControlServer、OnboardHmi、共享协议、现场试运行与验收相关方</w:t>
      </w:r>
    </w:p>
    <w:p>
      <w:pPr>
        <w:spacing w:after="4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EAF2F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本次评审的核心结论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建议批准本文件作为 WIRE_TO_GATE MVP 的领导评审需求边界与后续实施依据；该批准不等于软件发布批准、协议发布批准、目标硬件通过、现场试运行通过或法定／第三方验收通过。</w:t>
            </w:r>
          </w:p>
        </w:tc>
      </w:tr>
    </w:tbl>
    <w:p>
      <w:pPr>
        <w:spacing w:after="0"/>
      </w:pPr>
    </w:p>
    <w:p>
      <w:pPr>
        <w:keepLines w:val="0"/>
        <w:widowControl/>
      </w:pPr>
      <w:r>
        <w:rPr>
          <w:rFonts w:ascii="Calibri" w:hAnsi="Calibri" w:eastAsia="Microsoft YaHei"/>
          <w:color w:val="5B6573"/>
          <w:sz w:val="18"/>
        </w:rPr>
        <w:t>保密级别：项目内部</w:t>
      </w:r>
    </w:p>
    <w:p>
      <w:pPr>
        <w:pStyle w:val="Heading1"/>
        <w:pageBreakBefore/>
        <w:ind w:left="0" w:firstLine="0"/>
        <w:jc w:val="left"/>
      </w:pPr>
      <w:r>
        <w:t>文档控制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文档名称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WIRE_TO_GATE MVP 需求规格说明书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版本／日期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v1.0.0／2026-08-25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评审用途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领导确认 MVP 范围、权责、安全边界、跨端门禁与试运行准入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设计依据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standard_business_brief；正式首屏 memo_masthead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场景权威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最终需求适用性 TSV 是 348 条需求逐条适用性的唯一权威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当前成熟度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规划与实施交接已接受；ControlServer、OnboardHmi、共享协议、真实门禁及工厂试运行均未由本文件代替完成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版本权威与完整性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950"/>
        <w:gridCol w:w="591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权威资产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规模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SHA-256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当前需求基线 v1.0.0</w:t>
            </w:r>
          </w:p>
        </w:tc>
        <w:tc>
          <w:tcPr>
            <w:tcW w:type="dxa" w:w="9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348 条</w:t>
            </w:r>
          </w:p>
        </w:tc>
        <w:tc>
          <w:tcPr>
            <w:tcW w:type="dxa" w:w="5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5e409953dc24d3acbe399e1babf761fbf12c005662f59a0eac5fd240038d6fba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最终需求适用性画像 TSV</w:t>
            </w:r>
          </w:p>
        </w:tc>
        <w:tc>
          <w:tcPr>
            <w:tcW w:type="dxa" w:w="9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348 行</w:t>
            </w:r>
          </w:p>
        </w:tc>
        <w:tc>
          <w:tcPr>
            <w:tcW w:type="dxa" w:w="5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0678fddb8cb0dc4b1df620257ac7076fc8658e3bda828f0de5c6e9f0fe0461de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实施交接资产 manifest</w:t>
            </w:r>
          </w:p>
        </w:tc>
        <w:tc>
          <w:tcPr>
            <w:tcW w:type="dxa" w:w="9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24 项</w:t>
            </w:r>
          </w:p>
        </w:tc>
        <w:tc>
          <w:tcPr>
            <w:tcW w:type="dxa" w:w="5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3da7dc69429862443f77583d3e661c81657a37406764d187e19fe387b00d3d9c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FF4CE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评审豁免的精确边界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用户已接受规划规格和实施交接，并仅在本次 Wayfinder 规划／规格／实施交接阶段豁免车载端同事评审。车载端开发同事未评审、未批准本文件及其交接内容。该豁免不得扩张到任何真实 ProtocolRelease 的两名开发者本人确认、真实 G0／G3、生产 OnboardHmi 映射、跨端契约变更、目标硬件验证、实际构建／凭证／试运行，以及现场、法定或第三方验收。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阅读与裁决规则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需求基线是完整需求目录，不直接决定某条需求是否进入本场景；逐条适用性只认最终 TSV。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本文件以领导可评审结构转译 14 项规划决定；冲突时暂停实施并按变更治理，禁止口头改写。A“旅程导引台”是生产交互权威，原型工程、假数据和原型专用词汇不得成为生产依赖。</w:t>
      </w:r>
    </w:p>
    <w:p>
      <w:pPr>
        <w:pStyle w:val="Heading1"/>
        <w:pageBreakBefore/>
        <w:ind w:left="0" w:firstLine="0"/>
        <w:jc w:val="left"/>
      </w:pPr>
      <w:r>
        <w:t>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700"/>
        <w:gridCol w:w="58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领导评审关注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执行摘要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为何做、做什么、何时可称成功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背景与目标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业务问题、设计原则与衡量方式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MVP 范围与不在范围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边界和延后项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端到端流程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 Demand 从读取到本地闭环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角色与职责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跨端权威、防双主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功能需求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调度、扫码、整批装卸、完成防重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安全联锁与异常恢复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八仓、Guard、UNKNOWN、断联／重启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跨端协议与一致性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发布身份、消息面、双 Fake、G0～G3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界面与人机协作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 原型、目标硬件验证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部署协作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仓库、配置、凭证和推进顺序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工厂试运行与验收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P0～P7、PASS／FAIL／INCONCLUSIVE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风险、假设与待办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发布前必须关闭的缺口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13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领域词汇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统一语言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附录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需求追踪与门禁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348 条分类、规格映射与裁决证据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1　执行摘要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本 MVP 只解决一个受控问题：一台指定 AGV 在同一 Map 上，对一个已接受的 WIRE_TO_GATE Demand，先到取料站完成 1～8 个匿名料篮的整批装载，再严格串行驶向 Gate 并自动整批卸载，最终在本地原子完成任务与防重记账。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项目的关键不是“车能走”或“界面能点”，而是让业务身份、物理仓位、车门／光幕／锁闭／输出、安全 Guard、跨端消息和持久化证据保持同一事实链。任何 UNKNOWN、断联、重启或歧义都必须失败关闭，并能进入最小、受控、可审计的恢复路径。</w:t>
      </w:r>
    </w:p>
    <w:p>
      <w:pPr>
        <w:pStyle w:val="Heading2"/>
        <w:ind w:left="0" w:firstLine="0"/>
        <w:jc w:val="left"/>
      </w:pPr>
      <w:r>
        <w:t>领导评审建议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判断依据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批准 MVP 需求边界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单车、单 Demand、两段串行 RIoT、八仓整批、自动卸载、本地原子完成均已有明确权威与验收边界。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不授予发布批准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真实协议发布、双方真实构建、生产车载映射、目标硬件和工厂试运行证据尚须完成。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按门禁投资实施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先冻结协议与向量，再各端对 Fake，随后真实 G3，最后才进入 P0～P7。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保留红证据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任何 FAIL／INCONCLUSIVE 不能覆盖、淡化或用后续 PASS 抹除。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成功定义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仅一个合格 Demand 被稳定选择、最终重读并原子接受；同一运输需求在完成或抑制后不能再次执行。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两个 MovementLeg 严格串行；RIoT 只由 ControlServer 调用，抵达遥测不替代 StationOperationArrivalGate。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取料端完整装载，Gate 端自动完整卸载；本地成功不读取、不等待、不写入 PDA／MES 完成。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八仓均以业务事实与物理事实双重闭环；所有目标仓位满足占用状态、锁闭反馈与解锁输出复位。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协议、Fake、向量、实际构建、目标硬件与试运行按不可跳步的门禁形成可复现证据。</w:t>
      </w:r>
    </w:p>
    <w:p>
      <w:pPr>
        <w:pStyle w:val="Heading1"/>
        <w:pageBreakBefore/>
        <w:ind w:left="0" w:firstLine="0"/>
        <w:jc w:val="left"/>
      </w:pPr>
      <w:r>
        <w:t>2　背景与目标</w:t>
      </w:r>
    </w:p>
    <w:p>
      <w:pPr>
        <w:pStyle w:val="Heading2"/>
        <w:ind w:left="0" w:firstLine="0"/>
        <w:jc w:val="left"/>
      </w:pPr>
      <w:r>
        <w:t>2.1 背景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现有需求基线覆盖 8005 项目的更大系统边界。WIRE_TO_GATE 只是其中一个多仓 AGV 场景，若直接按完整基线实现，容易把无关能力、首期延后能力和依赖性安全要求混为一谈。因此，本项目以最终 348 行适用性 TSV 逐条裁决：85 条为 MVP 直接必须，101 条为 MVP 交互／安全依赖，31 条首期延后，131 条本场景不适用。</w:t>
      </w:r>
    </w:p>
    <w:p>
      <w:pPr>
        <w:pStyle w:val="Heading2"/>
        <w:ind w:left="0" w:firstLine="0"/>
        <w:jc w:val="left"/>
      </w:pPr>
      <w:r>
        <w:t>2.2 业务目标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建立从 MesIngest 可读 Demand 到 AGV 本地闭环的唯一、可追溯执行链。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支持单个 Sublot 对应 1～8 个料篮，并以完整冻结仓位集合执行整批装卸。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把所有不可逆动作前置到持久化、门禁与物理证据之后，避免重复任务、部分装卸和双主控制。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让断联、重启、UNKNOWN 与异常恢复成为正式需求，而不是现场经验。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用可复现的协议一致性与工厂试运行证据支撑后续发布决策。</w:t>
      </w:r>
    </w:p>
    <w:p>
      <w:pPr>
        <w:pStyle w:val="Heading2"/>
        <w:ind w:left="0" w:firstLine="0"/>
        <w:jc w:val="left"/>
      </w:pPr>
      <w:r>
        <w:t>2.3 设计原则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原则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单一权威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ControlServer 拥有业务／任务／仓位分配／移动；OnboardHmi 拥有实时物理状态与 IO；MesIngest 只提供 MES 接入事实和外部可读目录。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先持久化后副作用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发送、ACK、IO、RIoT 和业务提交都必须有明确的持久化前置条件。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UNKNOWN 失败关闭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缺失、过期、矛盾或不可判定的安全事实不能被默认值、管理员口令或遥测乐观推断替代。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整批原子闭环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部分仓位成功不是整批成功；批次提交与本地完成必须一次事务收口。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证据不可改写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配置、运行身份、失败记录与红证据追加保存；变更产生新身份并从最早受影响门禁重跑。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3　MVP 范围与不在范围</w:t>
      </w:r>
    </w:p>
    <w:p>
      <w:pPr>
        <w:pStyle w:val="Heading2"/>
        <w:ind w:left="0" w:firstLine="0"/>
        <w:jc w:val="left"/>
      </w:pPr>
      <w:r>
        <w:t>3.1 纳入范围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9"/>
              </w:rPr>
              <w:t>MVP 明确范围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业务场景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WIRE_TO_GATE，包含 wire bond 与 bonding 来源；下游不得用 STEP、EQP 或文本再次分类。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资源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一台指定 AGV、同一 Map、固定取料站与 Gate、稳定仓位 1～8。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并发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最多一个已接受且未结算 DemandId；其他合格需求进入稳定排序 backlog。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移动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TO_PICKUP 与 TO_GATE 两个独立 MovementLeg，严格串行，各自拥有 MovementLegId、DispatchGeneration、OrderIntent 与稳定 upperId。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装卸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取料端一次 Sublot 输入后整批装载；Gate 端基于当前任务与车载业务事实自动整批卸载。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完成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本地一次事务提交 UnloadBatch、StopClosureCommit、Demand success 与 TransportDemandCompletion。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异常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Guard、UNKNOWN、断联、重启、最小 ExceptionRecoverySession 与人工充电重新投运。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验证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共享协议、双 Fake、确定性虚拟时间、W2G-IS-00～07、G0～G3 与 P0～P7。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3.2 明确不在范围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多车调度、多 Demand 并发执行、跨 Map 调度、动态站点推断和通用任务编排平台。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车载端直接发现、排序、接受 MesIngest Demand，或直接调用 RIoT。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PDA／MES 完成确认、MES 写回、等待 PDA／MES 才判定本地成功。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自动充电、依据电量回升自动恢复 READY，以及无法校准的饥饿／超时阈值。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用光幕充当人员安全证明、用货物交接证明电子空仓／门安全／车辆就绪。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把 B／C 原型方案、原型假数据或原型工程提升为生产依赖。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首期延后 31 条与本场景不适用 131 条；除非形成新批准的适用性裁决。</w:t>
      </w:r>
    </w:p>
    <w:p>
      <w:pPr>
        <w:pStyle w:val="Heading1"/>
        <w:pageBreakBefore/>
        <w:ind w:left="0" w:firstLine="0"/>
        <w:jc w:val="left"/>
      </w:pPr>
      <w:r>
        <w:t>4　端到端流程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以下流程是唯一正常主旅程。阶段之间均以已持久化状态和门禁为准，不能靠页面切换、连接在线或单一遥测字段推断完成。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800"/>
        <w:gridCol w:w="69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名称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读取与排序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ControlServer 读取当前完整 MesIngest 目录；按等待年龄降序、创建时间升序、DemandId 升序稳定排序。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硬准入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检查场景／区域、同一 Map、站点可解析、路线证据、车辆业务就绪、无未结算副作用、仓位容量和电池策略。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最终重读与接受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提交前无条件重读完整目录；同 HistoryEpoch 比较完整决定元组，原子写入 AcceptedDemandSnapshot 与本地 DemandId。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前往取料站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 TO_PICKUP MovementLeg；ControlServer 单独调用 RIoT，按可靠状态机收敛。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到站门禁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抵达遥测仅作证据；StationOperationArrivalGate 完整满足后才允许取料作业。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Sublot 输入与校验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扫码枪和键盘统一产生 SublotSubmitted；服务器按当前已接受 Demand 做最终校验。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计算与冻结仓位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ExpectedBasketCount = ceil(MAX_BOX_COUNT / max_boxes_per_basket)，必须为 1～8；冻结 PACKAGE 容量规则和完整有序仓位集合。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整批装载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Guard 覆盖全过程；每个目标仓位达到 OCCUPIED＋locked＋unlock output reset 后，才提交 LoadBatch。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离站复核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StopClosureCommit 与新的 PreDepartureSafetyCheck 通过后，才创建下一段移动。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前往 Gate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 TO_GATE MovementLeg；与 TO_PICKUP 严格串行，身份、代次和 RIoT 订单互不复用。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自动整批卸载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Gate 到站门禁通过后自动开始；不得再次要求 Sublot、员工号、PDA 或 MES 输入。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本地原子完成</w:t>
            </w:r>
          </w:p>
        </w:tc>
        <w:tc>
          <w:tcPr>
            <w:tcW w:type="dxa" w:w="6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全部目标仓位 EMPTY＋locked＋reset 后，一次事务提交卸载、停靠闭合、Demand 成功和 TransportDemandCompletion。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流程不变量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任何时刻最多一个接受且未结算的 Demand；繁忙、暂不可用或已知低电量可保留 backlog，结构性阻断立即、去重地给出。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TransportDemandKey 的完成／抑制记录永久防重；目录消失、重现、刷新，或同一键出现新 DemandId，都不能触发重复执行。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本地成功一旦原子提交保持成功；若其后离站安全阻断，应阻断移动而不能倒写业务失败。</w:t>
      </w:r>
    </w:p>
    <w:p>
      <w:pPr>
        <w:pStyle w:val="Heading1"/>
        <w:pageBreakBefore/>
        <w:ind w:left="0" w:firstLine="0"/>
        <w:jc w:val="left"/>
      </w:pPr>
      <w:r>
        <w:t>5　角色与职责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40"/>
        <w:gridCol w:w="302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角色／组件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唯一权威与职责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ControlServer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Demand 读取／排序／接受、业务状态、仓位分配、移动状态、RIoT、批次提交、完成防重、Guard 与跨端协调。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不得直接驱动车载 IO；不得把 MES 事实据为己有或写回 MES。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OnboardHmi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稳定 1～8 仓位实时物理状态、锁闭／光幕／输出／IO、唯一 IO 控制、安全动作、车载持久化与操作员交互。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不得发现／排序／绑定 Demand，不得调用 RIoT，不得自行改变任务或仓位集合。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MesIngest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MES 接入事实、版本化外部可读目录、HistoryEpoch 与目录修订。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不拥有 DispatchTask、车辆、站点、路线、RIoT 订单、取消抑制或派车决策。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RIoT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接受 ControlServer 形成的移动订单并提供可核对结果。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不能成为业务完成、到站作业或安全就绪的单一证明。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共享协议仓库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消息、Schema、样例、错误码、向量、runner 与复合发布身份。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不得以 main、分支、单一 tag 或口头版本替代真实 ProtocolReleaseIdentity。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MaintenanceAdministrator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在授权、限定范围内发起人工充电重新投运及部分恢复操作。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不能制造安全事实或绕过 UNKNOWN。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SystemAdministrator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管理配置、身份、证据与受控恢复流程。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不能代替独立物理资格、开发者本人确认或验收方签署。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现场操作员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按当前步骤扫码／键盘输入、执行被允许的仓位动作并报告异常。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不能重绑任务、替换仓位、跳过门禁或自行宣布完成。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两端真实开发者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各自确认真实协议发布；车载开发者审查生产 A 原型映射。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AI、代理人、用户通用确认或规划豁免不能代签。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领导／最终批准人</w:t>
            </w:r>
          </w:p>
        </w:tc>
        <w:tc>
          <w:tcPr>
            <w:tcW w:type="dxa" w:w="46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在证据齐备后做范围、试运行与最终发布决策。</w:t>
            </w:r>
          </w:p>
        </w:tc>
        <w:tc>
          <w:tcPr>
            <w:tcW w:type="dxa" w:w="30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一次 PASS 不自动形成发布批准。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6　功能需求</w:t>
      </w:r>
    </w:p>
    <w:p>
      <w:pPr>
        <w:pStyle w:val="Heading2"/>
        <w:ind w:left="0" w:firstLine="0"/>
        <w:jc w:val="left"/>
      </w:pPr>
      <w:r>
        <w:t>6.1 Demand 受理、排序与防重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300"/>
        <w:gridCol w:w="27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必须满足的需求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W2G-FR-001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仅从当前完整 MesIngest 目录选择 WIRE_TO_GATE 候选；不得由 STEP／EQP／文本在下游重分类。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同目录输入得到同一候选集合。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W2G-FR-002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使用等待年龄降序、创建时间升序、DemandId 升序稳定排序；繁忙／暂不可用／已知低电量保留 backlog，结构性阻断立即且去重。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重启与重复轮询不改变顺序；不使用未校准饥饿阈值。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W2G-FR-003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在接受提交前无条件最终重读；同 HistoryEpoch 比较完整决定元组。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目录变化时拒绝旧决定并重算。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W2G-FR-004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原子保存 AcceptedDemandSnapshot，并以 DemandId 作为本地执行身份。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接受、身份和快照不可部分成功。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W2G-FR-005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TransportDemandKey 完成／抑制记录永久防重。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目录消失、重现或换 DemandId 均不重复执行同一运输需求。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6.2 移动与到站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300"/>
        <w:gridCol w:w="27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必须满足的需求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W2G-FR-006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TO_PICKUP 与 TO_GATE 严格串行，并分别拥有 MovementLegId、DispatchGeneration、OrderIntent 和稳定 upperId。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两段不能重叠、复用身份或越过前段收口。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W2G-FR-007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RIoT 只允许 ControlServer 调用；发送前持久化订单意图，结果可重放、可对账。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断联／重启无重复不可逆订单。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W2G-FR-008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移动完成遥测不等于作业到站；必须满足 StationOperationArrivalGate。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站点、代次、当前任务、安全与连接事实一致。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W2G-FR-009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离站前执行新的 PreDepartureSafetyCheck；后续阻断只阻止移动，不得倒写已提交的本地业务成功。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成功与可离站状态可独立表达。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6.3 Sublot、仓位与整批装卸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300"/>
        <w:gridCol w:w="27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必须满足的需求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W2G-FR-010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扫码枪与键盘统一形成 SublotSubmitted；ControlServer 按当前 AcceptedDemandSnapshot 做最终校验。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单次提交、焦点与终止符一致；无效输入不分配仓位。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W2G-FR-011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ExpectedBasketCount = ceil(MAX_BOX_COUNT / max_boxes_per_basket)，容量来自已批准 Sublot 读取和冻结 PACKAGE 规则，结果必须为 1～8。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无默认、估算、部分装载或事后替换仓位。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W2G-FR-012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冻结完整有序仓位集合；每个料篮恰占一个物理仓位，料篮保持匿名。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集合、顺序和业务绑定跨端一致。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W2G-FR-013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每个装载目标仓位达到 OCCUPIED＋locked＋unlock output reset 后，整批一次提交 LoadBatch。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任何部分成功均不构成批次成功。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W2G-FR-014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StopClosureCommit 前，授权纠错仅在原仓位执行 OCCUPIED→EMPTY→OCCUPIED；取消／补偿必须使完整范围安全为空。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禁止换槽和半批补偿。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W2G-FR-015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Gate 到站后自动整批卸载，不得再次要求 Sublot、员工号、PDA 或 MES 输入。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仅以当前任务和车载业务事实启动。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W2G-FR-016</w:t>
            </w:r>
          </w:p>
        </w:tc>
        <w:tc>
          <w:tcPr>
            <w:tcW w:type="dxa" w:w="5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所有目标仓位 EMPTY＋locked＋reset 后，一次事务提交 UnloadBatch、StopClosureCommit、Demand success 和 TransportDemandCompletion。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本地成功不读取、等待或写入 PDA／MES。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6.4 人工充电重新投运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低电量进入 ManualChargingHold；UNKNOWN 电量与已知低电量必须区分。只有具名管理员可请求重新投运，随后必须重新核对电池、非充电状态、IDLE、位置、订单、Guard、仓位、能力、安全与恢复状态。电量遥测上升本身不能恢复业务就绪，本 MVP 不包含自动充电。</w:t>
      </w:r>
    </w:p>
    <w:p>
      <w:pPr>
        <w:pStyle w:val="Heading1"/>
        <w:pageBreakBefore/>
        <w:ind w:left="0" w:firstLine="0"/>
        <w:jc w:val="left"/>
      </w:pPr>
      <w:r>
        <w:t>7　安全联锁与异常恢复</w:t>
      </w:r>
    </w:p>
    <w:p>
      <w:pPr>
        <w:pStyle w:val="Heading2"/>
        <w:ind w:left="0" w:firstLine="0"/>
        <w:jc w:val="left"/>
      </w:pPr>
      <w:r>
        <w:t>7.1 八仓与 IO 安全模型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150"/>
        <w:gridCol w:w="291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安全要求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失败行为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W2G-SR-001</w:t>
            </w:r>
          </w:p>
        </w:tc>
        <w:tc>
          <w:tcPr>
            <w:tcW w:type="dxa" w:w="51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稳定展示物理仓位 1～8，即使配置或硬件不可用也不得消失。</w:t>
            </w:r>
          </w:p>
        </w:tc>
        <w:tc>
          <w:tcPr>
            <w:tcW w:type="dxa" w:w="2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标记不可用／UNKNOWN 并阻断相关操作。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W2G-SR-002</w:t>
            </w:r>
          </w:p>
        </w:tc>
        <w:tc>
          <w:tcPr>
            <w:tcW w:type="dxa" w:w="51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DO1～DO8 为对应仓位解锁输出，DI1～DI8 为锁闭反馈，DI9～DI16 为仓内光幕；解锁脉冲为 500 ms。</w:t>
            </w:r>
          </w:p>
        </w:tc>
        <w:tc>
          <w:tcPr>
            <w:tcW w:type="dxa" w:w="2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映射缺失、冲突、过期或 IO 离线均失败关闭。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W2G-SR-003</w:t>
            </w:r>
          </w:p>
        </w:tc>
        <w:tc>
          <w:tcPr>
            <w:tcW w:type="dxa" w:w="51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仓内光幕只提供 OCCUPIED／EMPTY／UNKNOWN 占用证据，不是人员安全证明。</w:t>
            </w:r>
          </w:p>
        </w:tc>
        <w:tc>
          <w:tcPr>
            <w:tcW w:type="dxa" w:w="2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UNKNOWN 阻断；不得以光幕替代人员隔离。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W2G-SR-004</w:t>
            </w:r>
          </w:p>
        </w:tc>
        <w:tc>
          <w:tcPr>
            <w:tcW w:type="dxa" w:w="51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锁闭反馈证明锁闭；系统没有独立门关闭传感器。</w:t>
            </w:r>
          </w:p>
        </w:tc>
        <w:tc>
          <w:tcPr>
            <w:tcW w:type="dxa" w:w="2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不得用输出复位、页面状态或推测代替锁闭反馈。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W2G-SR-005</w:t>
            </w:r>
          </w:p>
        </w:tc>
        <w:tc>
          <w:tcPr>
            <w:tcW w:type="dxa" w:w="51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OnboardHmi 是物理状态与 IO 唯一权威；ControlServer 不能直接驱动输出。</w:t>
            </w:r>
          </w:p>
        </w:tc>
        <w:tc>
          <w:tcPr>
            <w:tcW w:type="dxa" w:w="2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发现双主或状态冲突时停止并进入恢复。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7.2 StationOperationGuard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Guard 必须覆盖 Sublot 输入、装载、卸载、纠错、取消、暂停和恢复全过程。Guard 未清除时不得开始下一段移动、接受新 Demand 或扩大解锁集合；连接恢复、心跳恢复和页面返回不等于 Guard 已安全结算。</w:t>
      </w:r>
    </w:p>
    <w:p>
      <w:pPr>
        <w:pStyle w:val="Heading2"/>
        <w:ind w:left="0" w:firstLine="0"/>
        <w:jc w:val="left"/>
      </w:pPr>
      <w:r>
        <w:t>7.3 断联与重启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60"/>
        <w:gridCol w:w="26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事件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必须动作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禁止动作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跨端断联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不得扩大 ActiveUnlockSet；仅允许 SafelyFinishActiveUnlockSet，随后带 Guard 暂停。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新开仓、新任务、推断完成或仅凭重连恢复 READY。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重新连接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执行五步 RecoveryHandshake：身份／版本、快照请求、双端恢复报告、矛盾核对、明确 SessionReadiness。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把 TCP、心跳或 SessionAccepted 当作业务就绪。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Onboard 重启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读取 OnboardExecutionJournal，重新读取实时 IO，仅在唯一 ProvenRecoveryCheckpoint 下继续。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 UI 页面、旧缓存或不完整日志猜测进度。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恢复歧义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缺失、UNKNOWN、冲突或多种可能结果时进入 VehicleRecoveryRequired。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自动选择“最可能”路径。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7.4 最小 ExceptionRecoverySession</w:t>
      </w:r>
    </w:p>
    <w:p>
      <w:pPr>
        <w:keepLines w:val="0"/>
        <w:widowControl/>
        <w:keepNext/>
        <w:keepLines/>
        <w:widowControl/>
      </w:pPr>
      <w:r>
        <w:rPr>
          <w:rFonts w:ascii="Calibri" w:hAnsi="Calibri" w:eastAsia="Microsoft YaHei"/>
          <w:color w:val="222222"/>
        </w:rPr>
        <w:t>每个恢复会话必须绑定一个具名管理员、一个事件、一台车辆和固定任务／仓位范围。仅允许以下四条路径：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修复后继续：恢复原操作身份和固定范围，证据可证明唯一继续点。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完整装载补偿为空：目标范围全部回到安全 EMPTY、locked、reset 后收口。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具名故障货物交接：记录货物、人员、时间与范围；交接不证明电子空仓、门安全或车辆就绪。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强制机械恢复：在具备资格的物理隔离下执行，并保留全部原身份与红证据。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CE8E6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不可覆盖的安全底线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管理员权限只能授权流程，不能制造占用、锁闭、输出复位、人员隔离、连接或业务就绪事实。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8　跨端协议与一致性</w:t>
      </w:r>
    </w:p>
    <w:p>
      <w:pPr>
        <w:pStyle w:val="Heading2"/>
        <w:ind w:left="0" w:firstLine="0"/>
        <w:jc w:val="left"/>
      </w:pPr>
      <w:r>
        <w:t>8.1 协议发布身份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共享协议采用独立轻量仓库。每个真实发布必须以复合 ProtocolReleaseIdentity 固定：仓库身份、release 版本／tag、commit、ProtocolVersion／profile，以及 manifest、Schema、错误码、向量和 runner 的哈希。main、分支、单一 tag 或文件名均不能独立标识可用发布。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FF4CE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真实开发者本人确认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每个真实 ProtocolRelease 必须由真实 ControlServer 开发者和真实 OnboardHmi 开发者各自本人确认。规划阶段车载评审豁免、AI、代理人或用户通用确认均不能代替该门禁。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8.2 消息包络与交付语义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必须满足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包络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NDJSON ProtocolEnvelope；ProtocolVersion 必须为精确整数 1；messageType 采用显式 allowlist。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可靠消息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发送方先持久化再发送；接收方先持久化规范内容、MessageId、哈希与责任状态，再发 DurableAck。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重放与冲突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 MessageId＋同内容按重放处理；同 MessageId＋不同内容为协议冲突并失败关闭。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交付类别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明确区分 reliable、snapshot、request／response、telemetry、heartbeat，不能共享模糊 ACK。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Schema 与错误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逐 messageType 提供 Schema、有效／无效样例、错误码、向量和持久化／去重／恢复规则；错误码只追加，含义、类别和重试策略不得原地改变。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8.3 完整消息面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消息族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messageType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会话／安全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ssionHello；SessionAccepted／SessionRejected；Heartbeat／HeartbeatAck；CapabilitySnapshotRequested／CapabilitySnapshot；RecoveryStateReport；SessionReadiness；SafetyStateChanged；SafetyStateSnapshotRequested／SafetyStateSnapshot；PreDepartureSafetyCheck／PreDepartureSafetyCheckResul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业务／旅程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VehicleBusinessStateSnapshot；CurrentStopWorklistSnapshot；UpcomingStopPlanSnapshot；SublotEntryRequested；SublotSubmitted／SublotRejected；SlotOperationCommand／SlotOperationCommandRejected；OperationProgress；OperationResult；ManualChargingReturnToServiceRequested／ManualChargingReturnToServiceResul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纠错／取消／补偿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按批准契约冻结的纠错、取消、补偿请求、状态与结果消息，必须携带原操作身份、固定仓位范围及代次。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恢复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ExceptionRecoverySession 的创建、动作、状态、结果与恢复快照消息，保持具名管理员和固定事件／车辆／任务／仓位范围。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通用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DurableAck；SnapshotAppliedAck；ProtocolProblem。</w:t>
            </w:r>
          </w:p>
        </w:tc>
      </w:tr>
    </w:tbl>
    <w:p>
      <w:pPr>
        <w:spacing w:after="0"/>
      </w:pPr>
    </w:p>
    <w:p>
      <w:pPr>
        <w:pStyle w:val="Heading3"/>
        <w:ind w:left="0" w:firstLine="0"/>
        <w:jc w:val="left"/>
      </w:pPr>
      <w:r>
        <w:t>禁止引入的消息名称</w:t>
      </w:r>
    </w:p>
    <w:p>
      <w:pPr>
        <w:keepLines w:val="0"/>
        <w:widowControl/>
      </w:pPr>
      <w:r>
        <w:rPr>
          <w:rFonts w:ascii="Calibri" w:hAnsi="Calibri" w:eastAsia="Microsoft YaHei"/>
          <w:color w:val="5B6573"/>
          <w:sz w:val="19"/>
        </w:rPr>
        <w:t>OperationCancelCommand、LoadCancellationCommand、LoadFinalConfirmation、UnloadCommand、SublotAccepted、按类型定制 ACK、WireToGateExecutionSnapshot、DepartureSafetyRevoked、OnboardCapabilitySnapshot。若确需新增能力，必须走跨端契约变更与完整门禁。</w:t>
      </w:r>
    </w:p>
    <w:p>
      <w:pPr>
        <w:pStyle w:val="Heading2"/>
        <w:ind w:left="0" w:firstLine="0"/>
        <w:jc w:val="left"/>
      </w:pPr>
      <w:r>
        <w:t>8.4 双 Fake 与确定性验证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ControlServer 仓库提供 Fake Onboard；OnboardHmi 仓库提供 Fake ControlServer。每个 Fake 必须携带完整 FakePeerIdentity，并与同一协议发布身份和向量集绑定。测试使用确定性虚拟时间，禁止依赖真实墙钟 sleep、随机调度或不可复现竞态。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门禁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G0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批准契约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协议发布身份、Schema、样例、错误码、向量和开发者本人确认完整。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契约自检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协议仓库自身的 schema／样例／向量／runner 检查可复现通过。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G2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各端＋自有 Fake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每个真实组件分别对自己的 Fake 通过；Fake 本身也作为受测对象。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两端真实构建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精确 ControlServer 与 OnboardHmi 构建在同一发布身份下联合通过。</w:t>
            </w:r>
          </w:p>
        </w:tc>
      </w:tr>
    </w:tbl>
    <w:p>
      <w:pPr>
        <w:spacing w:after="0"/>
      </w:pP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每次运行使用不可变 ConformanceRunIdentity。FAIL／INCONCLUSIVE 是不可改写证据。G2 不等于 G3，G3 也不等于工厂试运行。</w:t>
      </w:r>
    </w:p>
    <w:p>
      <w:pPr>
        <w:pStyle w:val="Heading1"/>
        <w:pageBreakBefore/>
        <w:ind w:left="0" w:firstLine="0"/>
        <w:jc w:val="left"/>
      </w:pPr>
      <w:r>
        <w:t>9　界面与人机协作</w:t>
      </w:r>
    </w:p>
    <w:p>
      <w:pPr>
        <w:pStyle w:val="Heading2"/>
        <w:ind w:left="0" w:firstLine="0"/>
        <w:jc w:val="left"/>
      </w:pPr>
      <w:r>
        <w:t>9.1 A“旅程导引台”原型权威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生产 OnboardHmi 必须以已选 A“旅程导引台”的窗口层级、三栏关系和交互节奏为设计权威，而不是仅参考颜色或截图。B、C 仅保留为设计证据。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生产要求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左侧固定旅程</w:t>
            </w:r>
          </w:p>
        </w:tc>
        <w:tc>
          <w:tcPr>
            <w:tcW w:type="dxa" w:w="7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始终呈现单场景步骤、当前阶段和已完成阶段，不让异常页面替换旅程上下文。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中央当前步骤</w:t>
            </w:r>
          </w:p>
        </w:tc>
        <w:tc>
          <w:tcPr>
            <w:tcW w:type="dxa" w:w="7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只展示当前一步的权威事实、操作说明和一个正常主动作；禁用原因必须明确可见。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右侧固定八仓</w:t>
            </w:r>
          </w:p>
        </w:tc>
        <w:tc>
          <w:tcPr>
            <w:tcW w:type="dxa" w:w="7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固定 1～8 号仓位；同时呈现业务绑定、OCCUPIED／EMPTY／UNKNOWN、锁闭反馈、输出复位、本次目标与 ActiveUnlockSet。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四个独立维度</w:t>
            </w:r>
          </w:p>
        </w:tc>
        <w:tc>
          <w:tcPr>
            <w:tcW w:type="dxa" w:w="7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移动运行、连接／业务就绪、当前工作、安全／联锁不得压缩为一个绿色／红色总灯。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输入</w:t>
            </w:r>
          </w:p>
        </w:tc>
        <w:tc>
          <w:tcPr>
            <w:tcW w:type="dxa" w:w="7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扫码和键盘共用单一提交路径；焦点、扫描终止符、重复提交和恢复后的输入状态需可验证。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9.2 生产映射与硬件验收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实施前必须形成原型到生产的具体映射，覆盖窗口层级、Grid、尺寸、间距、控件、状态、禁用动作和恢复动作。该映射必须由真实车载开发者评审；当前车载端同事尚未评审、未批准。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在实际目标硬件上验证真实分辨率、缩放、触控方式、扫码枪终止符与焦点、键盘备用输入。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按真实观察距离与现场光照检查文字、状态色、仓位证据和禁用原因的可读性。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使用隔离目标 HMI harness 重放正常旅程、断联、UNKNOWN 和恢复状态。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不把原型工程、假数据、模拟术语或浏览器专用行为带入生产。</w:t>
      </w:r>
    </w:p>
    <w:p>
      <w:pPr>
        <w:pStyle w:val="Heading1"/>
        <w:pageBreakBefore/>
        <w:ind w:left="0" w:firstLine="0"/>
        <w:jc w:val="left"/>
      </w:pPr>
      <w:r>
        <w:t>10　部署协作</w:t>
      </w:r>
    </w:p>
    <w:p>
      <w:pPr>
        <w:pStyle w:val="Heading2"/>
        <w:ind w:left="0" w:firstLine="0"/>
        <w:jc w:val="left"/>
      </w:pPr>
      <w:r>
        <w:t>10.1 实施顺序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60"/>
        <w:gridCol w:w="28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主要产物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不得提前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协议冻结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复合 ProtocolReleaseIdentity、Schema、样例、错误码、向量、runner、两名真实开发者本人确认。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未 G0 前不得各端凭口头约定并行漂移。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组件实现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ControlServer 与 OnboardHmi 各自按权威边界实现，并完成各自 Fake。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不得引入双主或共享数据库式耦合。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组件一致性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G1、G2 证据和不可变 ConformanceRunIdentity。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G2 不能替代真实联合构建。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真实联合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固定双方实际构建、协议发布与配置，完成 G3。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G3 不能替代目标硬件或现场试运行。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现场准入</w:t>
            </w:r>
          </w:p>
        </w:tc>
        <w:tc>
          <w:tcPr>
            <w:tcW w:type="dxa" w:w="4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不可变 FactoryPilotConfigurationSnapshot／FactoryPilotRunIdentity，执行 P0～P7。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任一 FAIL／INCONCLUSIVE 后不得继续后续阶段。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10.2 配置与凭证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冻结环境、MesIngest 读取契约／HistoryEpoch、RIoT API／环境／车辆绑定、Map、取料站与 Gate、路线证据。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冻结八仓配置指纹、DI／DO 映射、500 ms 脉冲、电池阈值、日志与证据保留策略。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真实凭证仅在授权环境使用；不得把凭证、现场身份或个人签署写入协议向量或示例。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任一构建、配置、协议或映射变化都产生新身份，并从最早受影响门禁重新执行。</w:t>
      </w:r>
    </w:p>
    <w:p>
      <w:pPr>
        <w:pStyle w:val="Heading2"/>
        <w:ind w:left="0" w:firstLine="0"/>
        <w:jc w:val="left"/>
      </w:pPr>
      <w:r>
        <w:t>10.3 跨团队协作准则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ControlServer、OnboardHmi 与协议仓库分别维护自身产物，但以共同向量和明确责任边界协作。所有争议先定位到权威对象与可观察证据，再决定变更归属；禁止通过扩大某一端权威、增加未治理消息或现场人工绕过来“快速联通”。</w:t>
      </w:r>
    </w:p>
    <w:p>
      <w:pPr>
        <w:pStyle w:val="Heading1"/>
        <w:pageBreakBefore/>
        <w:ind w:left="0" w:firstLine="0"/>
        <w:jc w:val="left"/>
      </w:pPr>
      <w:r>
        <w:t>11　工厂试运行与验收</w:t>
      </w:r>
    </w:p>
    <w:p>
      <w:pPr>
        <w:pStyle w:val="Heading2"/>
        <w:ind w:left="0" w:firstLine="0"/>
        <w:jc w:val="left"/>
      </w:pPr>
      <w:r>
        <w:t>11.1 不可变运行身份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FactoryPilotConfigurationSnapshot 与 FactoryPilotRunIdentity 一经创建不得改写。它们必须绑定实际协议发布、两端构建、环境、Map、站点、车辆、八仓配置、RIoT、MesIngest 读取契约、目标 HMI、角色、凭证与证据位置。配置变化必须创建新快照和新 runId。</w:t>
      </w:r>
    </w:p>
    <w:p>
      <w:pPr>
        <w:pStyle w:val="Heading2"/>
        <w:ind w:left="0" w:firstLine="0"/>
        <w:jc w:val="left"/>
      </w:pPr>
      <w:r>
        <w:t>11.2 P0～P7 严格顺序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63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目的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关键通过条件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冻结配置与角色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所有身份、绑定、职责、资格、凭证和证据存储就绪。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 G0～G3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精确真实发布和构建通过一致性门禁，无被忽略红证据。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只读静态环境检查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MesIngest、RIoT、Map、站点、路线、车辆、八仓和阈值与快照一致。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目标硬件／UI／IO 资格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实际分辨率、缩放、触控、扫码、键盘、距离、光照及八仓 IO／锁／光幕／输出完成隔离验证。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P4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空车无开门演练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用隔离 harness 重放旅程、断联、UNKNOWN、恢复和门禁，不使用真实物料。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P5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Go／No-Go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人员、物料、区域、资格、恢复与清场方案明确，所有前置证据 PASS。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P6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一次真实物料旅程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从全空、全锁、全复位开始，完成一次扫码、整批装载、两段移动、自动整批卸载与本地原子完成。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P7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对账、清场与证据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任务、RIoT、Guard、仓位、输出、物料、人员和车辆状态全部可解释并安全收口。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11.3 结论规则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00"/>
        <w:gridCol w:w="28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结论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定义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后续动作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PASS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该精确构建、协议、配置、车辆和一次运行满足所有不变量与 P7 对账。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作为发布评审证据之一；不自动批准发布。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FAIL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已观察到违反需求、门禁或安全不变量。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立即停止后续阶段，执行严格清场，永久保留红证据。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INCONCLUSIVE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证据缺失、身份不明、环境偏离或结果无法唯一判定。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按未通过处理，停止并清场；修复后创建新运行身份。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11.4 严格清场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FAIL／INCONCLUSIVE 后禁止接受新 Demand、创建下一段移动或扩大未发送的解锁组；保留原始身份与绑定，先保持／停止车辆并证明状态，只允许 SafelyFinishActiveUnlockSet 而不扩大，核对未知结果，并使用四条批准恢复路径之一。只有人员、货物、订单、Guard、每仓业务／物理事实、输出与车辆隔离／就绪均明确后，才能关闭清场。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EAF2F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发布决策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一次 PASS 仅证明该精确候选与配置的一次受控旅程；最终发布仍须由用户／领导在完整证据、未关闭风险和外部验收条件下另行批准。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12　风险、假设与待办</w:t>
      </w:r>
    </w:p>
    <w:p>
      <w:pPr>
        <w:pStyle w:val="Heading2"/>
        <w:ind w:left="0" w:firstLine="0"/>
        <w:jc w:val="left"/>
      </w:pPr>
      <w:r>
        <w:t>12.1 主要风险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000"/>
        <w:gridCol w:w="4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影响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控制措施／关闭条件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车载评审尚未完成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生产交互、IO 细节或恢复动作可能与实际实现脱节。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真实车载开发者审查 A 原型到生产映射；当前豁免不得用于放行。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协议身份漂移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两端各自“通过”但真实联合不兼容。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复合 ProtocolReleaseIdentity、两名开发者本人确认、G0～G3。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业务／物理双主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错误仓位、重复解锁、错误完成。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ControlServer 与 OnboardHmi 权威严格分离；冲突失败关闭。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UNKNOWN 被乐观处理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人员、货物、门锁或车辆风险。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所有 UNKNOWN 阻断；仅批准恢复会话可推进。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断联／重启重复副作用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重复 RIoT、IO 或批次提交。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先持久化、可靠消息、Journal、唯一恢复检查点和防重键。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PDA／MES 被加入成功链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现场系统波动导致本地任务无法闭环或重复执行。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本地成功明确不读取、不等待、不写入 PDA／MES 完成。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目标硬件可用性不足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现场看不清、扫码焦点错误、触控／键盘失败。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P3 在真实分辨率、缩放、触控、扫码、键盘、距离和光照下验证。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单次 PASS 被误解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带缺陷版本未经完整审批发布。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PASS 只进入发布评审；不替代领导、现场、法定或第三方批准。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12.2 假设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MesIngest 提供完整、版本化、只读目录与可比较的 HistoryEpoch／修订事实。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指定车辆、Map、取料站、Gate 和路线在试运行前可被明确绑定并核验。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每个物理仓位有可验证的锁闭反馈、仓内光幕和解锁输出；现场另有合格人员安全隔离。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ControlServer、OnboardHmi 与协议仓库由可本人确认真实发布的开发者负责。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工厂具备隔离测试区域、目标硬件、一次真实物料与严格清场条件。</w:t>
      </w:r>
    </w:p>
    <w:p>
      <w:pPr>
        <w:pStyle w:val="Heading2"/>
        <w:pageBreakBefore/>
        <w:ind w:left="0" w:firstLine="0"/>
        <w:jc w:val="left"/>
      </w:pPr>
      <w:r>
        <w:t>12.3 发布前待办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550"/>
        <w:gridCol w:w="391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待办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完成证据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真实两端开发者确认 ProtocolRelease；完成真实 G0／G3。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本人确认记录、复合发布身份、不可变 ConformanceRunIdentity。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生产 OnboardHmi 按 A 原型完成映射并由真实车载开发者评审。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映射表、评审记录、实际构建身份。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完成目标硬件与八仓 IO 资格验证。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P3 证据，包含实际分辨率／缩放／触控／扫码／键盘／距离／光照。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 P0～P7，严格记录 PASS／FAIL／INCONCLUSIVE 与清场。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不可变 FactoryPilotRunIdentity 和完整证据包。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视适用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完成现场、法定与第三方验收。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对应责任方的正式记录；规划豁免不适用。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决策</w:t>
            </w:r>
          </w:p>
        </w:tc>
        <w:tc>
          <w:tcPr>
            <w:tcW w:type="dxa" w:w="455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用户／领导基于全套证据作最终发布批准。</w:t>
            </w:r>
          </w:p>
        </w:tc>
        <w:tc>
          <w:tcPr>
            <w:tcW w:type="dxa" w:w="391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独立发布决定；不能由一次 PASS 自动产生。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13　领域词汇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术语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Demand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MesIngest 暴露的运输需求事实；被接受后以 DemandId 作为本地执行身份。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AcceptedDemandSnapshot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最终重读后原子冻结的决定快照，包含接受该 Demand 所需的完整决定事实。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TransportDemandKey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跨目录刷新／DemandId 变化保持稳定的运输需求防重键；完成／抑制后永久阻止重复执行。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HistoryEpoch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MesIngest 历史世代身份；只在同一 HistoryEpoch 内比较完整决定元组。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MovementLeg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单段移动执行；本场景仅有 TO_PICKUP 与 TO_GATE，且严格串行。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StationOperationArrivalGate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允许站内作业的完整到站门禁；高于单一抵达遥测。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StationOperationGuard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覆盖站内输入、装卸、纠错、取消、暂停与恢复的持久化安全／业务 Guard。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ActiveUnlockSet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当前已激活解锁的固定仓位集合；断联时只可安全完成，不可扩大。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StopClosureCommit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站内工作、Guard、仓位和安全事实完整收口的提交点。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ProvenRecoveryCheckpoint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重启后由 Journal 与实时 IO 唯一证明的可继续点。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VehicleRecoveryRequired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当恢复结果缺失、UNKNOWN、冲突或不唯一时进入的人工受控恢复状态。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ExceptionRecoverySession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绑定具名管理员、事件、车辆和固定任务／仓位范围的最小恢复会话。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ManualChargingHold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低电量导致的人工充电保持；必须由具名管理员请求并经全量复核才可重新投运。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ProtocolReleaseIdentity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协议仓库、版本／tag、commit、ProtocolVersion／profile 及各类哈希组成的复合发布身份。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ConformanceRunIdentity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一次协议一致性运行的不可变身份，绑定发布、构建、向量、runner、Fake 与环境。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FactoryPilotConfigurationSnapshot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工厂试运行前冻结的配置、构建、协议、硬件、环境、角色与证据位置快照。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FactoryPilotRunIdentity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一次 P0～P7 工厂试运行的不可变运行身份。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附录 A　需求适用性追踪</w:t>
      </w:r>
    </w:p>
    <w:p>
      <w:pPr>
        <w:pStyle w:val="Heading2"/>
        <w:ind w:left="0" w:firstLine="0"/>
        <w:jc w:val="left"/>
      </w:pPr>
      <w:r>
        <w:t>A.1 唯一逐条适用性权威</w:t>
      </w:r>
    </w:p>
    <w:p>
      <w:pPr>
        <w:keepLines w:val="0"/>
        <w:widowControl/>
      </w:pPr>
      <w:r>
        <w:rPr>
          <w:rFonts w:ascii="Calibri" w:hAnsi="Calibri" w:eastAsia="Microsoft YaHei"/>
          <w:color w:val="222222"/>
        </w:rPr>
        <w:t>最终适用性文件：.scratch/wire-to-gate-mvp/evidence/final-requirement-applicability-profile.tsv；数据行 348；SHA-256 为 0678fddb8cb0dc4b1df620257ac7076fc8658e3bda828f0de5c6e9f0fe0461de。以下区间由该文件按 RequirementId 压缩生成，不改变逐条裁决。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00"/>
        <w:gridCol w:w="65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6"/>
              </w:rPr>
              <w:t>最终分类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6"/>
              </w:rPr>
              <w:t>条数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6"/>
              </w:rPr>
              <w:t>RequirementId 区间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MVP 直接必须</w:t>
            </w:r>
          </w:p>
        </w:tc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85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EQ-0001、REQ-0026、REQ-0028–REQ-0031、REQ-0040、REQ-0074、REQ-0079、REQ-0146–REQ-0147、REQ-0150–REQ-0164、REQ-0169、REQ-0183–REQ-0184、REQ-0186–REQ-0187、REQ-0190–REQ-0193、REQ-0200–REQ-0201、REQ-0204、REQ-0207–REQ-0210、REQ-0213、REQ-0221–REQ-0224、REQ-0231、REQ-0243–REQ-0250、REQ-0252–REQ-0253、REQ-0267、REQ-0269–REQ-0270、REQ-0281、REQ-0298、REQ-0302–REQ-0303、REQ-0305、REQ-0308、REQ-0312–REQ-0313、REQ-0319、REQ-0321–REQ-0322、REQ-0324–REQ-0325、REQ-0327、REQ-0329–REQ-0335、REQ-0343–REQ-0345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MVP 交互／安全依赖</w:t>
            </w:r>
          </w:p>
        </w:tc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101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EQ-0002–REQ-0025、REQ-0027、REQ-0047、REQ-0051、REQ-0053–REQ-0054、REQ-0056、REQ-0069–REQ-0071、REQ-0073、REQ-0078、REQ-0089、REQ-0148–REQ-0149、REQ-0165–REQ-0168、REQ-0181–REQ-0182、REQ-0188、REQ-0194、REQ-0199、REQ-0205、REQ-0211、REQ-0216、REQ-0218、REQ-0225–REQ-0230、REQ-0232–REQ-0235、REQ-0237–REQ-0242、REQ-0251、REQ-0255、REQ-0257–REQ-0259、REQ-0262–REQ-0265、REQ-0271–REQ-0272、REQ-0276、REQ-0278–REQ-0279、REQ-0282、REQ-0290、REQ-0299–REQ-0301、REQ-0304、REQ-0306–REQ-0307、REQ-0309、REQ-0314–REQ-0315、REQ-0323、REQ-0336–REQ-0338、REQ-0340–REQ-0342、REQ-0347–REQ-0348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首期延后</w:t>
            </w:r>
          </w:p>
        </w:tc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REQ-0037、REQ-0052、REQ-0055、REQ-0072、REQ-0075–REQ-0077、REQ-0080–REQ-0088、REQ-0203、REQ-0212、REQ-0215、REQ-0256、REQ-0260–REQ-0261、REQ-0266、REQ-0268、REQ-0273–REQ-0275、REQ-0277、REQ-0280、REQ-0339、REQ-0346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本场景不适用</w:t>
            </w:r>
          </w:p>
        </w:tc>
        <w:tc>
          <w:tcPr>
            <w:tcW w:type="dxa" w:w="7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131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REQ-0032–REQ-0036、REQ-0038–REQ-0039、REQ-0041–REQ-0046、REQ-0048–REQ-0050、REQ-0057–REQ-0068、REQ-0090–REQ-0145、REQ-0170–REQ-0180、REQ-0185、REQ-0189、REQ-0195–REQ-0198、REQ-0202、REQ-0206、REQ-0214、REQ-0217、REQ-0219–REQ-0220、REQ-0236、REQ-0254、REQ-0283–REQ-0289、REQ-0291–REQ-0297、REQ-0310–REQ-0311、REQ-0316–REQ-0318、REQ-0320、REQ-0326、REQ-0328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A.2 本文件需求域与权威资产映射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40"/>
        <w:gridCol w:w="292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本文件需求域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主要来源资产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实现／验收落点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Demand 与防重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最终适用性 TSV、MVP 规格、ControlServer 交接、跨域 ADR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W2G-FR-001～005；W2G-IS-00／01／05／07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移动与 RIoT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MVP 规格、ControlServer 交接、协议交接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W2G-FR-006～009；W2G-IS-01／03／04／05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Sublot／整批装卸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MVP 规格、两端交接、协议 Schema／向量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W2G-FR-010～016；W2G-IS-02～04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八仓／IO／Guard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MVP 规格、OnboardHmi 交接、安全／恢复决议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W2G-SR-001～005；W2G-IS-00／02～06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断联／重启／恢复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MVP 规格、两端交接、协议与向量要求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W2G-IS-05／06；G1～G3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 原型与目标硬件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选定 A 原型源、原型说明、OnboardHmi 交接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生产映射评审；P3／P4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协议与一致性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协议仓库交接、契约向量要求、集成切片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ProtocolReleaseIdentity；G0～G3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工厂试运行</w:t>
            </w:r>
          </w:p>
        </w:tc>
        <w:tc>
          <w:tcPr>
            <w:tcW w:type="dxa" w:w="414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工厂试运行清单、实施交接 README、资产 manifest</w:t>
            </w:r>
          </w:p>
        </w:tc>
        <w:tc>
          <w:tcPr>
            <w:tcW w:type="dxa" w:w="292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FactoryPilotConfigurationSnapshot；P0～P7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附录 B　集成切片与一致性门禁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切片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验收主题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W2G-IS-00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会话、协议发布、快照、能力、安全、恢复与业务就绪基础。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W2G-IS-01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读取、稳定排序、最终重读、接受单 Demand，创建并收敛 TO_PICKUP。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W2G-IS-02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Sublot 单次提交、ExpectedBasketCount、完整仓位集合、整批装载、纠错与取消补偿。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W2G-IS-03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StopClosureCommit、离站安全复核、TO_GATE 严格串行。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W2G-IS-04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Gate 自动整批卸载、本地原子完成与无 PDA／MES 依赖证明。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W2G-IS-05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断联、重放、ACK、快照恢复、RIoT 未知结果与防重复副作用。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W2G-IS-06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Onboard 重启、Journal、实时 IO 重读、唯一恢复检查点与 ExceptionRecoverySession。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W2G-IS-07</w:t>
            </w:r>
          </w:p>
        </w:tc>
        <w:tc>
          <w:tcPr>
            <w:tcW w:type="dxa" w:w="78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TransportDemandKey 完成／抑制防重、backlog 与后续 Demand 行为。</w:t>
            </w:r>
          </w:p>
        </w:tc>
      </w:tr>
    </w:tbl>
    <w:p>
      <w:pPr>
        <w:spacing w:after="0"/>
      </w:pPr>
    </w:p>
    <w:p>
      <w:pPr>
        <w:pStyle w:val="Heading2"/>
        <w:ind w:left="0" w:firstLine="0"/>
        <w:jc w:val="left"/>
      </w:pPr>
      <w:r>
        <w:t>B.1 每个向量必须比较的内容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包络、payload、方向、correlation、错误码和允许／禁止的消息顺序。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交付类别、去重、修订、持久化点，以及发送／ACK／不可逆动作／结果重放的先后。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不得发生的 RIoT、业务、解锁、READY 和重复副作用。</w:t>
      </w:r>
    </w:p>
    <w:p>
      <w:pPr>
        <w:pStyle w:val="ListBullet"/>
        <w:spacing w:after="160" w:line="280" w:lineRule="auto"/>
        <w:keepLines/>
        <w:widowControl/>
      </w:pPr>
      <w:r>
        <w:rPr>
          <w:rFonts w:ascii="Calibri" w:hAnsi="Calibri" w:eastAsia="Microsoft YaHei"/>
        </w:rPr>
        <w:t>最终车辆就绪、Demand、MovementLeg、业务仓位和可证明物理状态。</w:t>
      </w:r>
    </w:p>
    <w:p>
      <w:pPr>
        <w:pStyle w:val="Heading2"/>
        <w:ind w:left="0" w:firstLine="0"/>
        <w:jc w:val="left"/>
      </w:pPr>
      <w:r>
        <w:t>B.2 不可替代关系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已有证据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8"/>
              </w:rPr>
              <w:t>仍不能替代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规格与交接已接受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真实开发者协议确认、生产映射、实际构建、目标硬件、现场试运行。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G1 通过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任一真实组件的 G2。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G2 通过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两端真实构建联合 G3。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G3 通过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P0～P7 工厂试运行。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一次 P6 旅程完成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P7 对账、清场和 PASS 结论。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一次 PASS</w:t>
            </w:r>
          </w:p>
        </w:tc>
        <w:tc>
          <w:tcPr>
            <w:tcW w:type="dxa" w:w="65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最终发布批准、现场／法定／第三方验收。</w:t>
            </w:r>
          </w:p>
        </w:tc>
      </w:tr>
    </w:tbl>
    <w:p>
      <w:pPr>
        <w:spacing w:after="0"/>
      </w:pPr>
    </w:p>
    <w:p>
      <w:pPr>
        <w:pStyle w:val="Heading1"/>
        <w:pageBreakBefore/>
        <w:ind w:left="0" w:firstLine="0"/>
        <w:jc w:val="left"/>
      </w:pPr>
      <w:r>
        <w:t>附录三　领导评审检查表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800"/>
        <w:gridCol w:w="29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检查项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本文件状态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领导决定／后续责任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MVP 范围与不在范围是否清晰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已定义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批准／要求调整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单车单 Demand、两段串行、八仓整批是否为首期目标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已定义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批准／要求调整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PDA／MES 不进入本地成功链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已定义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确认边界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ControlServer／OnboardHmi／MesIngest／RIoT 权威是否可接受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已定义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确认组织责任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车载规划评审豁免是否保持严格限域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已披露：车载同事未评审、未批准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确认不得扩张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真实协议发布、G0／G3 与两名开发者本人确认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未由本文件完成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指定责任人与时间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生产 A 原型映射与目标硬件验证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未由本文件完成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指定责任人与时间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P0～P7 工厂试运行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未执行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批准进入条件与现场资源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最终发布批准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未授予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2" w:lineRule="auto"/>
              <w:keepLines/>
              <w:widowControl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证据齐备后独立决策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EAF2F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7365D"/>
                <w:sz w:val="22"/>
              </w:rPr>
              <w:t>建议评审决议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批准本文件作为 WIRE_TO_GATE MVP 的范围与需求基线；要求所有未完成门禁按本文件关闭；在真实证据齐备前，不授予协议发布、软件发布、目标硬件或工厂上线批准。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7"/>
      </w:rPr>
      <w:t xml:space="preserve">内部评审｜第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页，共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 w:eastAsia="Microsoft YaHei"/>
        <w:color w:val="5B6573"/>
        <w:sz w:val="17"/>
      </w:rPr>
      <w:t>8005 多仓位 AGV｜WIRE_TO_GATE MVP 需求规格说明书</w:t>
    </w:r>
    <w:r>
      <w:rPr>
        <w:rFonts w:ascii="Calibri" w:hAnsi="Calibri" w:eastAsia="Microsoft YaHei"/>
        <w:color w:val="5B6573"/>
        <w:sz w:val="17"/>
      </w:rPr>
      <w:tab/>
      <w:t>领导评审版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●"/>
      <w:lvlJc w:val="left"/>
      <w:pPr>
        <w:tabs>
          <w:tab w:val="num" w:pos="720"/>
        </w:tabs>
        <w:ind w:left="720" w:hanging="360"/>
      </w:pPr>
      <w:rPr>
        <w:rFonts w:ascii="Microsoft YaHei" w:hAnsi="Microsoft YaHei" w:hint="eastAsia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left="0" w:right="0" w:firstLine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0" w:right="0" w:firstLine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left="0" w:right="0" w:firstLine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 w:before="0"/>
      <w:ind w:left="0" w:right="0" w:firstLin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/>
      <w:ind w:left="0" w:right="0" w:firstLine="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WIRE_TO_GATE MVP 需求规格说明书</dc:title>
  <dc:subject>8005 多仓位 AGV｜领导评审版</dc:subject>
  <dc:creator>8005 多仓位 AGV 项目组</dc:creator>
  <cp:keywords>WIRE_TO_GATE, AGV, 多仓位, ControlServer, OnboardHmi, Protocol, 工厂试运行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