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宿迁长电多仓位AGV项目</w:t>
        <w:br/>
        <w:t>待处理事项清单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整理日期：2026-07-17　｜　本周重点：推进 MES / RIOT 文档与验证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说明：本文档汇总当前 MES、RIOT、应用侧待办，并标出预计时间与需对外沟通协调的事项。时间估值为工作日口径，可按现场联调窗口调整；“依赖客户/IT”项的等待时间不计入本团队净工时。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124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待处理项数</w:t>
            </w:r>
          </w:p>
        </w:tc>
        <w:tc>
          <w:tcPr>
            <w:tcW w:type="dxa" w:w="141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本周优先</w:t>
            </w:r>
          </w:p>
        </w:tc>
        <w:tc>
          <w:tcPr>
            <w:tcW w:type="dxa" w:w="4535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主要阻塞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MES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第六类任务SQL未反馈；现场验证不足；共晶排除清单；AREA清单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RIOT API</w:t>
            </w:r>
          </w:p>
        </w:tc>
        <w:tc>
          <w:tcPr>
            <w:tcW w:type="dxa" w:w="124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453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订单状态契约未探明；地图/路径API未测；可用API清单筛选中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应用/需求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文档补齐优先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4项新功能未入需求文档；缺架构与详细设计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客户沟通</w:t>
            </w:r>
          </w:p>
        </w:tc>
        <w:tc>
          <w:tcPr>
            <w:tcW w:type="dxa" w:w="124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41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type="dxa" w:w="453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SQL/EQP/AREA/封装覆盖/异常任务规则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二、MES 待处理事项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待处理事项与预计时间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98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待处理事项</w:t>
            </w:r>
          </w:p>
        </w:tc>
        <w:tc>
          <w:tcPr>
            <w:tcW w:type="dxa" w:w="3685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说明/验收要点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预计时间</w:t>
            </w:r>
          </w:p>
        </w:tc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跟进第六类任务 SQL</w:t>
              <w:br/>
              <w:t>（焊线1完工→焊线氮气柜）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IT群已询问，客户未反馈。拿到SQL后：登记 QUERY_ID、并入 UNION、补契约字段、补实验与样本。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收到SQL后 1～2 天</w:t>
              <w:br/>
              <w:t>（等待不计入）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M-02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封装/花篮容量对照缺口处理</w:t>
            </w:r>
          </w:p>
        </w:tc>
        <w:tc>
          <w:tcPr>
            <w:tcW w:type="dxa" w:w="368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客户表仅十余种封装，MES可查到未覆盖 PACKAGE。确认：查不到容量时退化到「选 SUBLOT / 扫码 → 开门」兜底（9.3），并写入正式需求与实现约束。</w:t>
            </w:r>
          </w:p>
        </w:tc>
        <w:tc>
          <w:tcPr>
            <w:tcW w:type="dxa" w:w="181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 天（规则固化）</w:t>
              <w:br/>
              <w:t>覆盖率治理另计 2～3 天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MES 现场任务准确性验证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验证查询结果是否=现场应建任务。至少覆盖误查场景：</w:t>
              <w:br/>
              <w:t>1）交接班：部分完工、下个班组继续生产；</w:t>
              <w:br/>
              <w:t>2）扣留出站且部分完工。</w:t>
              <w:br/>
              <w:t>输出误报样本、与客户IT共定过滤规则或SQL修订。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联调窗口 3～5 天</w:t>
              <w:br/>
              <w:t>（含样本与结论文档）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M-04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补充完整任务状态图</w:t>
            </w:r>
          </w:p>
        </w:tc>
        <w:tc>
          <w:tcPr>
            <w:tcW w:type="dxa" w:w="368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获取/去重/过滤已确认，但缺完整状态图。补齐：PENDING～COMPLETED/CANCELLED/EXCEPTION、MES消失保护、人工永久抑制、位置异常、上游依赖等待等。</w:t>
            </w:r>
          </w:p>
        </w:tc>
        <w:tc>
          <w:tcPr>
            <w:tcW w:type="dxa" w:w="181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1～1.5 天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共晶/低温共晶排除规则落地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客户曾确认按 EQP 剔除。需正式 EQP 清单；并核对现 SQL 未剔除新厂前线订单的问题。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清单到位后 0.5～1 天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M-06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各任务类型 AREA 清单盘点</w:t>
            </w:r>
          </w:p>
        </w:tc>
        <w:tc>
          <w:tcPr>
            <w:tcW w:type="dxa" w:w="368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现场用 AREA 判站点。需输出每类任务当前命中的 AREA 集合（含新厂前线），支撑映射与过滤。</w:t>
            </w:r>
          </w:p>
        </w:tc>
        <w:tc>
          <w:tcPr>
            <w:tcW w:type="dxa" w:w="181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1～2 天</w:t>
              <w:br/>
              <w:t>（依赖可执行查询权限）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M-07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证据/样本迁入与可追溯验收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catalog 显示 evidence 尚未迁入；性能与契约结论需有 manifest/哈希支撑后方可作为验收依据。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1～2 天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M-08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PACKAGE 覆盖与 TOLL- 边界</w:t>
            </w:r>
          </w:p>
        </w:tc>
        <w:tc>
          <w:tcPr>
            <w:tcW w:type="dxa" w:w="368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活跃样本≠全集；未覆盖走兜底；TOLL- 前缀匹配边界单独确认。</w:t>
            </w:r>
          </w:p>
        </w:tc>
        <w:tc>
          <w:tcPr>
            <w:tcW w:type="dxa" w:w="181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2～3 天（可与M-02并行）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MES 需沟通协调事项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58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需沟通对象</w:t>
            </w:r>
          </w:p>
        </w:tc>
        <w:tc>
          <w:tcPr>
            <w:tcW w:type="dxa" w:w="3118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沟通事项</w:t>
            </w:r>
          </w:p>
        </w:tc>
        <w:tc>
          <w:tcPr>
            <w:tcW w:type="dxa" w:w="198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期望产出</w:t>
            </w:r>
          </w:p>
        </w:tc>
        <w:tc>
          <w:tcPr>
            <w:tcW w:type="dxa" w:w="1701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MC-01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 IT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第六类任务（焊线1完工送焊线氮气柜）正式 SQL、筛选条件、是否并入现有 UNION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正式 SQL + 业务含义确认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已在IT群询问，等待反馈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MC-02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客户工艺/现场 + IT</w:t>
            </w:r>
          </w:p>
        </w:tc>
        <w:tc>
          <w:tcPr>
            <w:tcW w:type="dxa" w:w="3118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封装对照表不全时：是否统一退化“选任务/扫SUBLOT开门”；未覆盖 PACKAGE 是否补表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书面确认兜底规则；补表计划或接受兜底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现场已确认表不全，规则待书面确认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MC-03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 IT + 现场班组长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交接班部分完工、扣留出站部分完工等是否应出现在运输候选中；若不该出现，过滤字段/状态如何写进 SQL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误报场景清单 + SQL/规则修订方案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已识别风险，尚未系统验证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MC-04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 IT</w:t>
            </w:r>
          </w:p>
        </w:tc>
        <w:tc>
          <w:tcPr>
            <w:tcW w:type="dxa" w:w="3118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共晶、低温共晶：按 EQP 剔除的完整 EQP 清单及变更治理方式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EQP 白/黑名单 + 变更责任人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口头确认按EQP剔除，清单未提供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MC-05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 IT / 现场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五类（及第六类）任务各自实际出现的 AREA 列表；新厂前线订单是否应排除及如何排除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 TASK_TYPE 的 AREA 清单；前线排除规则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已知现SQL未剔除新厂前线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三、RIOT API 待处理事项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待处理事项与预计时间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98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待处理事项</w:t>
            </w:r>
          </w:p>
        </w:tc>
        <w:tc>
          <w:tcPr>
            <w:tcW w:type="dxa" w:w="3685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说明/验收要点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预计时间</w:t>
            </w:r>
          </w:p>
        </w:tc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R-01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完成可用 API 人工筛选清单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基于 Swagger 全量清单，标出本应用必用/可选/禁用；同步写入 RIOT 消费边界文档。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1～2 天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R-02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订单状态模型探明与状态图</w:t>
            </w:r>
          </w:p>
        </w:tc>
        <w:tc>
          <w:tcPr>
            <w:tcW w:type="dxa" w:w="368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探明订单/mission/车辆等状态面及到站、完成、取消判定。</w:t>
              <w:br/>
              <w:t>建议：人工绘制“目标状态图/假设图”作为实验对照，再由现场测试验证并修订；不宜仅凭 AI 臆测写死。</w:t>
            </w:r>
          </w:p>
        </w:tc>
        <w:tc>
          <w:tcPr>
            <w:tcW w:type="dxa" w:w="181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绘制假设图 0.5 天</w:t>
              <w:br/>
              <w:t>+ 现场验证 2～4 天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R-03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订单相关 API 联调测试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建单、查询、取消/interrupt、幂等（upperId）、队列 0/1 等最小闭环。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2～4 天</w:t>
              <w:br/>
              <w:t>（需测试车窗口）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R-04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地图/路径 API 测试</w:t>
            </w:r>
          </w:p>
        </w:tc>
        <w:tc>
          <w:tcPr>
            <w:tcW w:type="dxa" w:w="3685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站点列表、边/路网、路径成本等，供分配订单与 AREA→站点表A同步。</w:t>
            </w:r>
          </w:p>
        </w:tc>
        <w:tc>
          <w:tcPr>
            <w:tcW w:type="dxa" w:w="181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1～2 天</w:t>
            </w:r>
          </w:p>
        </w:tc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R-05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将验证结论写入行为契约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通过项晋升 knowledge/fixtures；未通过项保留 OPEN；供需求 UC-008/009/045 引用。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0.5～1 天（随实验滚动）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</w:tbl>
    <w:p/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关于“是否要 AI 探明订单状态”的建议：不要让 AI 在无证据时直接定义正式状态机。推荐流程为：① 人工根据 Swagger/经验画假设状态图；② Behavior Lab 按图做正反例测试；③ 用证据修订为正式契约后再交给 AI 实现。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RIOT 需沟通协调事项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58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需沟通对象</w:t>
            </w:r>
          </w:p>
        </w:tc>
        <w:tc>
          <w:tcPr>
            <w:tcW w:type="dxa" w:w="3118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沟通事项</w:t>
            </w:r>
          </w:p>
        </w:tc>
        <w:tc>
          <w:tcPr>
            <w:tcW w:type="dxa" w:w="198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期望产出</w:t>
            </w:r>
          </w:p>
        </w:tc>
        <w:tc>
          <w:tcPr>
            <w:tcW w:type="dxa" w:w="1701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RC-01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现场/运维 R-13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测试车、自动模式、安全区域、可写操作批准范围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可执行的联调窗口与安全边界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Behavior Lab 已有治理要求，需排期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RC-02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斯坦德/RIOT 支持（必要时）</w:t>
            </w:r>
          </w:p>
        </w:tc>
        <w:tc>
          <w:tcPr>
            <w:tcW w:type="dxa" w:w="3118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订单状态枚举含义、到站判定、物模型 multiLoad 等文档缺口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厂商说明或书面答复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部分问题 BLOCKED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RC-03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项目组内部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确认“假设状态图由人工先画、实验后固化”的工作方式，避免未验证结论进入需求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工作约定写入本周计划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待确认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四、应用 / 需求文档待处理事项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客户新增功能（尚未写入需求文档）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9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58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新增需求</w:t>
            </w:r>
          </w:p>
        </w:tc>
        <w:tc>
          <w:tcPr>
            <w:tcW w:type="dxa" w:w="2381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要点</w:t>
            </w:r>
          </w:p>
        </w:tc>
        <w:tc>
          <w:tcPr>
            <w:tcW w:type="dxa" w:w="2551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建议动作</w:t>
            </w:r>
          </w:p>
        </w:tc>
        <w:tc>
          <w:tcPr>
            <w:tcW w:type="dxa" w:w="158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预计时间（入文档+澄清）</w:t>
            </w:r>
          </w:p>
        </w:tc>
        <w:tc>
          <w:tcPr>
            <w:tcW w:type="dxa" w:w="73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A-01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站点等待时间限制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到站后等待超时自动执行下一任务；等待时长可配置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 UC/BR：超时起点、与装载/开仓会话冲突、超时后本地与RIOT如何处理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0.5～1 天</w:t>
            </w:r>
          </w:p>
        </w:tc>
        <w:tc>
          <w:tcPr>
            <w:tcW w:type="dxa" w:w="7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79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A-02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同站多任务操作</w:t>
            </w:r>
          </w:p>
        </w:tc>
        <w:tc>
          <w:tcPr>
            <w:tcW w:type="dxa" w:w="238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同一机台可积压多个完工；站点需支持对多任务上料、取消</w:t>
            </w:r>
          </w:p>
        </w:tc>
        <w:tc>
          <w:tcPr>
            <w:tcW w:type="dxa" w:w="255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补交互与状态：任务列表、选择开门、取消范围（永久抑制规则）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 天</w:t>
            </w:r>
          </w:p>
        </w:tc>
        <w:tc>
          <w:tcPr>
            <w:tcW w:type="dxa" w:w="73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A-03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分区派单策略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不同区域使用不同派单策略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明确区域划分键（AREA/站点类型/任务类型）、策略参数、与第5类最高优先级关系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1～1.5 天</w:t>
            </w:r>
          </w:p>
        </w:tc>
        <w:tc>
          <w:tcPr>
            <w:tcW w:type="dxa" w:w="73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79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A-04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不扫码直接开门</w:t>
            </w:r>
          </w:p>
        </w:tc>
        <w:tc>
          <w:tcPr>
            <w:tcW w:type="dxa" w:w="238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选择对应任务直接开门（与扫码开门并存）</w:t>
            </w:r>
          </w:p>
        </w:tc>
        <w:tc>
          <w:tcPr>
            <w:tcW w:type="dxa" w:w="255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与现有“选定SUBLOT+有物关门=有效装载”对齐；防误开仓与审计字段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0.5～1 天</w:t>
            </w:r>
          </w:p>
        </w:tc>
        <w:tc>
          <w:tcPr>
            <w:tcW w:type="dxa" w:w="73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文档与设计工作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98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待处理事项</w:t>
            </w:r>
          </w:p>
        </w:tc>
        <w:tc>
          <w:tcPr>
            <w:tcW w:type="dxa" w:w="396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181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预计时间</w:t>
            </w:r>
          </w:p>
        </w:tc>
        <w:tc>
          <w:tcPr>
            <w:tcW w:type="dxa" w:w="102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A-05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将上述 4 项新功能写入需求文档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补用例、业务规则、验收标准；标注与现有装载/取消/派车规则的冲突点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1～2 天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A-06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AI/人工完整检查需求遗漏与问题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当前仅到功能需求层次；做一致性、边界、异常流、与 MES/RIOT 契约交叉检查</w:t>
            </w:r>
          </w:p>
        </w:tc>
        <w:tc>
          <w:tcPr>
            <w:tcW w:type="dxa" w:w="181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2～3 天</w:t>
            </w:r>
          </w:p>
        </w:tc>
        <w:tc>
          <w:tcPr>
            <w:tcW w:type="dxa" w:w="10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A-07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架构 / 功能分配 / 库表 / 详细设计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本周明确：先推进 MES、RIOT 文档与验证；架构与详细设计排在其后或并行起草提纲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提纲 1 天；完整版后续 1～2 周</w:t>
            </w:r>
          </w:p>
        </w:tc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P2（本周非主线）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应用侧需沟通协调事项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type="dxa" w:w="1587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需沟通对象</w:t>
            </w:r>
          </w:p>
        </w:tc>
        <w:tc>
          <w:tcPr>
            <w:tcW w:type="dxa" w:w="3118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沟通事项</w:t>
            </w:r>
          </w:p>
        </w:tc>
        <w:tc>
          <w:tcPr>
            <w:tcW w:type="dxa" w:w="198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期望产出</w:t>
            </w:r>
          </w:p>
        </w:tc>
        <w:tc>
          <w:tcPr>
            <w:tcW w:type="dxa" w:w="1701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AC-01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客户业务/现场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等待超时默认值、超时是否允许正在开仓时装载被打断、超时后是否自动开始运送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参数默认值与边界确认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需求口头提出，未入库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AC-02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客户业务/现场</w:t>
            </w:r>
          </w:p>
        </w:tc>
        <w:tc>
          <w:tcPr>
            <w:tcW w:type="dxa" w:w="3118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同站多任务：取消是否仍永久抑制；列表排序规则；是否允许一次带走多 SUBLOT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交互与规则确认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未入需求文档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AC-03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客户业务 + 调度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分区派单策略：区域如何切分、各区策略差异（优先级/混装/是否顺路）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策略矩阵初稿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未入需求文档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AC-04</w:t>
            </w:r>
          </w:p>
        </w:tc>
        <w:tc>
          <w:tcPr>
            <w:tcW w:type="dxa" w:w="1587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客户现场</w:t>
            </w:r>
          </w:p>
        </w:tc>
        <w:tc>
          <w:tcPr>
            <w:tcW w:type="dxa" w:w="3118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不扫码选任务开门：是否与扫码并存；误操作责任与审计要求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操作规程确认</w:t>
            </w:r>
          </w:p>
        </w:tc>
        <w:tc>
          <w:tcPr>
            <w:tcW w:type="dxa" w:w="170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未入需求文档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五、本周推进建议（MES + RIOT 文档主线）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顺序</w:t>
            </w:r>
          </w:p>
        </w:tc>
        <w:tc>
          <w:tcPr>
            <w:tcW w:type="dxa" w:w="2551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工作包</w:t>
            </w:r>
          </w:p>
        </w:tc>
        <w:tc>
          <w:tcPr>
            <w:tcW w:type="dxa" w:w="3969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产出</w:t>
            </w:r>
          </w:p>
        </w:tc>
        <w:tc>
          <w:tcPr>
            <w:tcW w:type="dxa" w:w="1984"/>
            <w:shd w:fill="D9E2F3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预计占用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MES：状态图 + 误报场景验证计划 + 沟通清单发出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完整状态图；验证用例；客户问题单（第六类SQL/EQP/AREA/异常过滤/封装兜底）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2～3 天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55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RIOT：可用API筛选 + 人工订单假设状态图 + 联调排期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API消费清单；假设状态图；测试计划与安全边界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2～3 天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RIOT：订单闭环 + 地图路径 API 测试（有窗口则执行）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evidence 轮次；到站/建单/路径结论或 OPEN 项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2～4 天（看现场窗口）</w:t>
            </w:r>
          </w:p>
        </w:tc>
      </w:tr>
      <w:tr>
        <w:tc>
          <w:tcPr>
            <w:tcW w:type="dxa" w:w="85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551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应用：4 项新需求写入需求文档（可与 1～2 并行）</w:t>
            </w:r>
          </w:p>
        </w:tc>
        <w:tc>
          <w:tcPr>
            <w:tcW w:type="dxa" w:w="3969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UC/BR 草案 + 待确认参数表</w:t>
            </w:r>
          </w:p>
        </w:tc>
        <w:tc>
          <w:tcPr>
            <w:tcW w:type="dxa" w:w="1984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1～2 天</w:t>
            </w:r>
          </w:p>
        </w:tc>
      </w:tr>
      <w:tr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架构/详细设计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仅列提纲与依赖，不作为本周完成目标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0.5～1 天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六、关键待客户确认清单（汇总）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以下事项直接影响 MES 过滤正确性与现场派车，建议集中发一轮确认：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1. 第六类任务（焊线1完工送焊线氮气柜）的正式 SQL 及是否并入现有五类 UNION。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2. 共晶 / 低温共晶：按 EQP 剔除的完整 EQP 清单；变更后谁维护。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3. 当前各任务类型（含新厂前线）实际出现的 AREA 清单；前线订单排除方式（EQP / AREA / 其他）。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4. 封装对照表未覆盖的 PACKAGE：是否统一退化为“选择任务/扫 SUBLOT 后开门”；是否补全对照表。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5. 交接班部分完工、扣留出站部分完工等记录：是否应从运输候选中排除，排除条件字段是什么。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6. 站点等待超时默认秒数、超时后行为；同站多任务取消规则；分区派单策略初值；是否允许不扫码选任务开门。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七、备注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• 预计时间为工作日粗估，不含客户回复等待；现场联调受测试车与安全窗口约束，可能拉长。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• MES 业务文档中“开发前无阻塞项”指本地状态机可起步；本清单中的 P0 沟通项仍阻塞“现场可用/过滤正确”。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• RIOT 侧在订单状态与地图路径未验证前，派车与分配算法不得按未验证假设写死。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• 关于封装未覆盖：建议在需求中明确默认退化为选任务/扫 SUBLOT 开门，与现有 9.3 兜底一致，待客户书面确认后固化。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0"/>
        </w:rPr>
        <w:t>• 本文档可根据本周沟通结果滚动更新状态列。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