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2247" w14:textId="5559D6AB" w:rsidR="00BB7873" w:rsidRPr="00BF7B6A" w:rsidRDefault="00822CCC" w:rsidP="00822CCC">
      <w:pPr>
        <w:rPr>
          <w:color w:val="00B050"/>
          <w:lang w:val="en-US"/>
        </w:rPr>
      </w:pPr>
      <w:r w:rsidRPr="00BF7B6A">
        <w:rPr>
          <w:color w:val="00B050"/>
          <w:lang w:val="en-US"/>
        </w:rPr>
        <w:t xml:space="preserve">Citation: Sipowicz, K.; </w:t>
      </w:r>
      <w:proofErr w:type="spellStart"/>
      <w:r w:rsidRPr="00BF7B6A">
        <w:rPr>
          <w:color w:val="00B050"/>
          <w:lang w:val="en-US"/>
        </w:rPr>
        <w:t>Podlecka</w:t>
      </w:r>
      <w:proofErr w:type="spellEnd"/>
      <w:r w:rsidRPr="00BF7B6A">
        <w:rPr>
          <w:color w:val="00B050"/>
          <w:lang w:val="en-US"/>
        </w:rPr>
        <w:t xml:space="preserve">, </w:t>
      </w:r>
      <w:proofErr w:type="spellStart"/>
      <w:r w:rsidRPr="00BF7B6A">
        <w:rPr>
          <w:color w:val="00B050"/>
          <w:lang w:val="en-US"/>
        </w:rPr>
        <w:t>M.;Mokros</w:t>
      </w:r>
      <w:proofErr w:type="spellEnd"/>
      <w:r w:rsidRPr="00BF7B6A">
        <w:rPr>
          <w:color w:val="00B050"/>
          <w:lang w:val="en-US"/>
        </w:rPr>
        <w:t>, Ł.; Pietras, T. Lonely in the</w:t>
      </w:r>
      <w:r w:rsidRPr="00BF7B6A">
        <w:rPr>
          <w:color w:val="00B050"/>
          <w:lang w:val="en-US"/>
        </w:rPr>
        <w:t xml:space="preserve"> </w:t>
      </w:r>
      <w:r w:rsidRPr="00BF7B6A">
        <w:rPr>
          <w:color w:val="00B050"/>
          <w:lang w:val="en-US"/>
        </w:rPr>
        <w:t>City–Sociodemographic Status and</w:t>
      </w:r>
      <w:r w:rsidRPr="00BF7B6A">
        <w:rPr>
          <w:color w:val="00B050"/>
          <w:lang w:val="en-US"/>
        </w:rPr>
        <w:t xml:space="preserve"> </w:t>
      </w:r>
      <w:r w:rsidRPr="00BF7B6A">
        <w:rPr>
          <w:color w:val="00B050"/>
          <w:lang w:val="en-US"/>
        </w:rPr>
        <w:t>Somatic Morbidities as Predictors of</w:t>
      </w:r>
      <w:r w:rsidRPr="00BF7B6A">
        <w:rPr>
          <w:color w:val="00B050"/>
          <w:lang w:val="en-US"/>
        </w:rPr>
        <w:t xml:space="preserve"> </w:t>
      </w:r>
      <w:r w:rsidRPr="00BF7B6A">
        <w:rPr>
          <w:color w:val="00B050"/>
          <w:lang w:val="en-US"/>
        </w:rPr>
        <w:t>Loneliness and Depression among</w:t>
      </w:r>
      <w:r w:rsidRPr="00BF7B6A">
        <w:rPr>
          <w:color w:val="00B050"/>
          <w:lang w:val="en-US"/>
        </w:rPr>
        <w:t xml:space="preserve"> </w:t>
      </w:r>
      <w:r w:rsidRPr="00BF7B6A">
        <w:rPr>
          <w:color w:val="00B050"/>
          <w:lang w:val="en-US"/>
        </w:rPr>
        <w:t xml:space="preserve">Seniors–Preliminary Results. Int. </w:t>
      </w:r>
      <w:proofErr w:type="spellStart"/>
      <w:r w:rsidRPr="00BF7B6A">
        <w:rPr>
          <w:color w:val="00B050"/>
          <w:lang w:val="en-US"/>
        </w:rPr>
        <w:t>J.Environ</w:t>
      </w:r>
      <w:proofErr w:type="spellEnd"/>
      <w:r w:rsidRPr="00BF7B6A">
        <w:rPr>
          <w:color w:val="00B050"/>
          <w:lang w:val="en-US"/>
        </w:rPr>
        <w:t xml:space="preserve">. Res. Public Health 2021, 18,7213. </w:t>
      </w:r>
      <w:hyperlink r:id="rId4" w:history="1">
        <w:r w:rsidRPr="00BF7B6A">
          <w:rPr>
            <w:rStyle w:val="Hipercze"/>
            <w:color w:val="00B050"/>
            <w:lang w:val="en-US"/>
          </w:rPr>
          <w:t>https://doi.org/10.3390/ijerph1814721</w:t>
        </w:r>
      </w:hyperlink>
    </w:p>
    <w:p w14:paraId="55E1E4A9" w14:textId="77777777" w:rsidR="00822CCC" w:rsidRDefault="00822CCC" w:rsidP="00822CCC">
      <w:pPr>
        <w:rPr>
          <w:lang w:val="en-US"/>
        </w:rPr>
      </w:pPr>
    </w:p>
    <w:p w14:paraId="2F8E9FB2" w14:textId="06AEBD0D" w:rsidR="00822CCC" w:rsidRDefault="00822CCC" w:rsidP="00822CCC">
      <w:r w:rsidRPr="00822CCC">
        <w:t>Do 1/3 seniorów cierpi z powodu s</w:t>
      </w:r>
      <w:r>
        <w:t>amotności, która jest uważana za czynnik ryzyka depresji.</w:t>
      </w:r>
    </w:p>
    <w:p w14:paraId="5E5359E1" w14:textId="22E85723" w:rsidR="00822CCC" w:rsidRDefault="00822CCC" w:rsidP="00822CCC">
      <w:r>
        <w:t>Mieszkanie samotnie do największy czynnik ryzyka samotności i depresji w tej grupie. Rozwiązaniem jest rozwinięcie systemu wsparcia społecznego. Większe poczucie samotności u mieszkańców miasta niż wsi.</w:t>
      </w:r>
    </w:p>
    <w:p w14:paraId="7709A987" w14:textId="77777777" w:rsidR="008740F8" w:rsidRDefault="008740F8" w:rsidP="00822CCC"/>
    <w:p w14:paraId="22EB224C" w14:textId="77777777" w:rsidR="008740F8" w:rsidRPr="008740F8" w:rsidRDefault="008740F8" w:rsidP="008740F8">
      <w:pPr>
        <w:spacing w:after="0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pl-PL"/>
          <w14:ligatures w14:val="none"/>
        </w:rPr>
      </w:pPr>
      <w:r w:rsidRPr="008740F8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pl-PL"/>
          <w14:ligatures w14:val="none"/>
        </w:rPr>
        <w:t xml:space="preserve">Tomás, Jose M et al. “Loneliness and Social Support: Differential Predictive Power on Depression and Satisfaction in Senior Citizens.” </w:t>
      </w:r>
      <w:proofErr w:type="spellStart"/>
      <w:r w:rsidRPr="008740F8">
        <w:rPr>
          <w:rFonts w:ascii="Times New Roman" w:eastAsia="Times New Roman" w:hAnsi="Times New Roman" w:cs="Times New Roman"/>
          <w:i/>
          <w:iCs/>
          <w:color w:val="00B050"/>
          <w:kern w:val="0"/>
          <w:sz w:val="24"/>
          <w:szCs w:val="24"/>
          <w:lang w:eastAsia="pl-PL"/>
          <w14:ligatures w14:val="none"/>
        </w:rPr>
        <w:t>Journal</w:t>
      </w:r>
      <w:proofErr w:type="spellEnd"/>
      <w:r w:rsidRPr="008740F8">
        <w:rPr>
          <w:rFonts w:ascii="Times New Roman" w:eastAsia="Times New Roman" w:hAnsi="Times New Roman" w:cs="Times New Roman"/>
          <w:i/>
          <w:iCs/>
          <w:color w:val="00B050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Pr="008740F8">
        <w:rPr>
          <w:rFonts w:ascii="Times New Roman" w:eastAsia="Times New Roman" w:hAnsi="Times New Roman" w:cs="Times New Roman"/>
          <w:i/>
          <w:iCs/>
          <w:color w:val="00B050"/>
          <w:kern w:val="0"/>
          <w:sz w:val="24"/>
          <w:szCs w:val="24"/>
          <w:lang w:eastAsia="pl-PL"/>
          <w14:ligatures w14:val="none"/>
        </w:rPr>
        <w:t>community</w:t>
      </w:r>
      <w:proofErr w:type="spellEnd"/>
      <w:r w:rsidRPr="008740F8">
        <w:rPr>
          <w:rFonts w:ascii="Times New Roman" w:eastAsia="Times New Roman" w:hAnsi="Times New Roman" w:cs="Times New Roman"/>
          <w:i/>
          <w:iCs/>
          <w:color w:val="00B050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740F8">
        <w:rPr>
          <w:rFonts w:ascii="Times New Roman" w:eastAsia="Times New Roman" w:hAnsi="Times New Roman" w:cs="Times New Roman"/>
          <w:i/>
          <w:iCs/>
          <w:color w:val="00B050"/>
          <w:kern w:val="0"/>
          <w:sz w:val="24"/>
          <w:szCs w:val="24"/>
          <w:lang w:eastAsia="pl-PL"/>
          <w14:ligatures w14:val="none"/>
        </w:rPr>
        <w:t>psychology</w:t>
      </w:r>
      <w:proofErr w:type="spellEnd"/>
      <w:r w:rsidRPr="008740F8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pl-PL"/>
          <w14:ligatures w14:val="none"/>
        </w:rPr>
        <w:t xml:space="preserve"> 47.5 (2019): 1225–1234. Web.</w:t>
      </w:r>
    </w:p>
    <w:p w14:paraId="112086D9" w14:textId="77777777" w:rsidR="008740F8" w:rsidRDefault="008740F8" w:rsidP="00822CCC"/>
    <w:p w14:paraId="6BA69479" w14:textId="3FE2A34C" w:rsidR="008740F8" w:rsidRDefault="008740F8" w:rsidP="00822CCC">
      <w:r>
        <w:t>Im większe poczucie samotności, tym mniejsze poczucie jakości życia oraz wyższa depresyjność.</w:t>
      </w:r>
    </w:p>
    <w:p w14:paraId="607159FE" w14:textId="77777777" w:rsidR="00D17DB0" w:rsidRDefault="00D17DB0" w:rsidP="00822CCC"/>
    <w:p w14:paraId="5BA69A32" w14:textId="480852E3" w:rsidR="00D17DB0" w:rsidRPr="00BF7B6A" w:rsidRDefault="0039563C" w:rsidP="0039563C">
      <w:pPr>
        <w:rPr>
          <w:color w:val="00B050"/>
          <w:lang w:val="en-US"/>
        </w:rPr>
      </w:pPr>
      <w:r w:rsidRPr="00BF7B6A">
        <w:rPr>
          <w:color w:val="00B050"/>
          <w:lang w:val="en-US"/>
        </w:rPr>
        <w:t xml:space="preserve">Baecker, Ron, Sellen, Kate, </w:t>
      </w:r>
      <w:proofErr w:type="spellStart"/>
      <w:r w:rsidRPr="00BF7B6A">
        <w:rPr>
          <w:color w:val="00B050"/>
          <w:lang w:val="en-US"/>
        </w:rPr>
        <w:t>Crosskey</w:t>
      </w:r>
      <w:proofErr w:type="spellEnd"/>
      <w:r w:rsidRPr="00BF7B6A">
        <w:rPr>
          <w:color w:val="00B050"/>
          <w:lang w:val="en-US"/>
        </w:rPr>
        <w:t xml:space="preserve">, Sarah, </w:t>
      </w:r>
      <w:proofErr w:type="spellStart"/>
      <w:r w:rsidRPr="00BF7B6A">
        <w:rPr>
          <w:color w:val="00B050"/>
          <w:lang w:val="en-US"/>
        </w:rPr>
        <w:t>Boscart</w:t>
      </w:r>
      <w:proofErr w:type="spellEnd"/>
      <w:r w:rsidRPr="00BF7B6A">
        <w:rPr>
          <w:color w:val="00B050"/>
          <w:lang w:val="en-US"/>
        </w:rPr>
        <w:t>, Veronique and Barbosa Neves,</w:t>
      </w:r>
      <w:r w:rsidRPr="00BF7B6A">
        <w:rPr>
          <w:color w:val="00B050"/>
          <w:lang w:val="en-US"/>
        </w:rPr>
        <w:t xml:space="preserve"> </w:t>
      </w:r>
      <w:r w:rsidRPr="00BF7B6A">
        <w:rPr>
          <w:color w:val="00B050"/>
          <w:lang w:val="en-US"/>
        </w:rPr>
        <w:t>Barbara (2014) Technology to reduce social isolation and loneliness. In: Proceedings of the</w:t>
      </w:r>
      <w:r w:rsidRPr="00BF7B6A">
        <w:rPr>
          <w:color w:val="00B050"/>
          <w:lang w:val="en-US"/>
        </w:rPr>
        <w:t xml:space="preserve"> </w:t>
      </w:r>
      <w:r w:rsidRPr="00BF7B6A">
        <w:rPr>
          <w:color w:val="00B050"/>
          <w:lang w:val="en-US"/>
        </w:rPr>
        <w:t>16th International ACM SIGACCESS Conference on Computers &amp; Accessibility. Available</w:t>
      </w:r>
      <w:r w:rsidRPr="00BF7B6A">
        <w:rPr>
          <w:color w:val="00B050"/>
          <w:lang w:val="en-US"/>
        </w:rPr>
        <w:t xml:space="preserve"> </w:t>
      </w:r>
      <w:r w:rsidRPr="00BF7B6A">
        <w:rPr>
          <w:color w:val="00B050"/>
          <w:lang w:val="en-US"/>
        </w:rPr>
        <w:t xml:space="preserve">at </w:t>
      </w:r>
      <w:hyperlink r:id="rId5" w:history="1">
        <w:r w:rsidRPr="00BF7B6A">
          <w:rPr>
            <w:rStyle w:val="Hipercze"/>
            <w:color w:val="00B050"/>
            <w:lang w:val="en-US"/>
          </w:rPr>
          <w:t>http://openresearch.ocadu.ca/id/eprint/1004</w:t>
        </w:r>
      </w:hyperlink>
    </w:p>
    <w:p w14:paraId="0673309C" w14:textId="77777777" w:rsidR="0039563C" w:rsidRDefault="0039563C" w:rsidP="0039563C">
      <w:pPr>
        <w:rPr>
          <w:lang w:val="en-US"/>
        </w:rPr>
      </w:pPr>
    </w:p>
    <w:p w14:paraId="507BF1A3" w14:textId="12EDA240" w:rsidR="0039563C" w:rsidRDefault="00E45D22" w:rsidP="0039563C">
      <w:r w:rsidRPr="00E45D22">
        <w:t xml:space="preserve">Ramka pozwalająca seniorom wysłanie maila </w:t>
      </w:r>
      <w:r>
        <w:t>do rodziny. Badanie pilotażowe.</w:t>
      </w:r>
    </w:p>
    <w:p w14:paraId="6CCD80D8" w14:textId="77777777" w:rsidR="00E45D22" w:rsidRDefault="00E45D22" w:rsidP="0039563C"/>
    <w:p w14:paraId="0B70EAA0" w14:textId="07BD3737" w:rsidR="000810E2" w:rsidRPr="00BF7B6A" w:rsidRDefault="000810E2" w:rsidP="000810E2">
      <w:pPr>
        <w:rPr>
          <w:color w:val="00B050"/>
          <w:lang w:val="en-US"/>
        </w:rPr>
      </w:pPr>
      <w:r w:rsidRPr="00BF7B6A">
        <w:rPr>
          <w:color w:val="00B050"/>
          <w:lang w:val="en-US"/>
        </w:rPr>
        <w:t>Addressing loneliness and social isolation</w:t>
      </w:r>
      <w:r w:rsidRPr="00BF7B6A">
        <w:rPr>
          <w:color w:val="00B050"/>
          <w:lang w:val="en-US"/>
        </w:rPr>
        <w:t xml:space="preserve"> </w:t>
      </w:r>
      <w:r w:rsidRPr="00BF7B6A">
        <w:rPr>
          <w:color w:val="00B050"/>
          <w:lang w:val="en-US"/>
        </w:rPr>
        <w:t>among older people in Europe*</w:t>
      </w:r>
    </w:p>
    <w:p w14:paraId="579DEA33" w14:textId="05E5B36D" w:rsidR="00E45D22" w:rsidRPr="00BF7B6A" w:rsidRDefault="000810E2" w:rsidP="000810E2">
      <w:pPr>
        <w:rPr>
          <w:color w:val="00B050"/>
          <w:lang w:val="en-US"/>
        </w:rPr>
      </w:pPr>
      <w:r w:rsidRPr="00BF7B6A">
        <w:rPr>
          <w:color w:val="00B050"/>
          <w:lang w:val="en-US"/>
        </w:rPr>
        <w:t xml:space="preserve">Veronica Sandu, Eszter Zólyomi and Kai </w:t>
      </w:r>
      <w:proofErr w:type="spellStart"/>
      <w:r w:rsidRPr="00BF7B6A">
        <w:rPr>
          <w:color w:val="00B050"/>
          <w:lang w:val="en-US"/>
        </w:rPr>
        <w:t>Leichsenrin</w:t>
      </w:r>
      <w:proofErr w:type="spellEnd"/>
    </w:p>
    <w:p w14:paraId="5612A1A0" w14:textId="46AA54F8" w:rsidR="000810E2" w:rsidRDefault="000810E2" w:rsidP="000810E2">
      <w:r w:rsidRPr="000810E2">
        <w:t xml:space="preserve">Samotność jest czynnikiem ryzyka </w:t>
      </w:r>
      <w:proofErr w:type="spellStart"/>
      <w:r w:rsidRPr="000810E2">
        <w:t>ch.</w:t>
      </w:r>
      <w:proofErr w:type="spellEnd"/>
      <w:r>
        <w:t xml:space="preserve"> serca, nadciśnienia.</w:t>
      </w:r>
    </w:p>
    <w:p w14:paraId="6AE249DC" w14:textId="4B82444C" w:rsidR="00D44E5B" w:rsidRDefault="00D44E5B" w:rsidP="000810E2">
      <w:r w:rsidRPr="00D44E5B">
        <w:lastRenderedPageBreak/>
        <w:drawing>
          <wp:inline distT="0" distB="0" distL="0" distR="0" wp14:anchorId="5F82E755" wp14:editId="7A6F1FC4">
            <wp:extent cx="5760720" cy="3073400"/>
            <wp:effectExtent l="0" t="0" r="0" b="0"/>
            <wp:docPr id="6653626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62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710D" w14:textId="42F7E463" w:rsidR="00D44E5B" w:rsidRDefault="00613BFE" w:rsidP="000810E2">
      <w:r w:rsidRPr="00613BFE">
        <w:drawing>
          <wp:inline distT="0" distB="0" distL="0" distR="0" wp14:anchorId="3B019483" wp14:editId="5F746729">
            <wp:extent cx="5760720" cy="4755515"/>
            <wp:effectExtent l="0" t="0" r="0" b="6985"/>
            <wp:docPr id="12586169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16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A9D0" w14:textId="72AE823D" w:rsidR="00613BFE" w:rsidRDefault="00613BFE" w:rsidP="000810E2">
      <w:r>
        <w:t>Programy walczące z samotnością seniorów opierają się w różnych krajach na wolontariuszach pracujących na miejscu</w:t>
      </w:r>
      <w:r w:rsidR="0041414C">
        <w:t>, liniach telefonicznych.</w:t>
      </w:r>
    </w:p>
    <w:p w14:paraId="639B3B51" w14:textId="77777777" w:rsidR="00593EE6" w:rsidRDefault="00593EE6" w:rsidP="00593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175CA38F" w14:textId="57FB6D41" w:rsidR="00593EE6" w:rsidRPr="00593EE6" w:rsidRDefault="00593EE6" w:rsidP="00593EE6">
      <w:pPr>
        <w:spacing w:after="0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pl-PL"/>
          <w14:ligatures w14:val="none"/>
        </w:rPr>
      </w:pPr>
      <w:r w:rsidRPr="00593EE6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pl-PL"/>
          <w14:ligatures w14:val="none"/>
        </w:rPr>
        <w:lastRenderedPageBreak/>
        <w:t xml:space="preserve">Busch, P. A., </w:t>
      </w:r>
      <w:proofErr w:type="spellStart"/>
      <w:r w:rsidRPr="00593EE6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pl-PL"/>
          <w14:ligatures w14:val="none"/>
        </w:rPr>
        <w:t>Hausvik</w:t>
      </w:r>
      <w:proofErr w:type="spellEnd"/>
      <w:r w:rsidRPr="00593EE6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pl-PL"/>
          <w14:ligatures w14:val="none"/>
        </w:rPr>
        <w:t xml:space="preserve">, G. I., </w:t>
      </w:r>
      <w:proofErr w:type="spellStart"/>
      <w:r w:rsidRPr="00593EE6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pl-PL"/>
          <w14:ligatures w14:val="none"/>
        </w:rPr>
        <w:t>Ropstad</w:t>
      </w:r>
      <w:proofErr w:type="spellEnd"/>
      <w:r w:rsidRPr="00593EE6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pl-PL"/>
          <w14:ligatures w14:val="none"/>
        </w:rPr>
        <w:t xml:space="preserve">, O. K., &amp; Pettersen, D. (2021). Smartphone usage among older adults. </w:t>
      </w:r>
      <w:r w:rsidRPr="00593EE6">
        <w:rPr>
          <w:rFonts w:ascii="Times New Roman" w:eastAsia="Times New Roman" w:hAnsi="Times New Roman" w:cs="Times New Roman"/>
          <w:i/>
          <w:iCs/>
          <w:color w:val="00B050"/>
          <w:kern w:val="0"/>
          <w:sz w:val="24"/>
          <w:szCs w:val="24"/>
          <w:lang w:val="en-US" w:eastAsia="pl-PL"/>
          <w14:ligatures w14:val="none"/>
        </w:rPr>
        <w:t>Computers in Human Behavior</w:t>
      </w:r>
      <w:r w:rsidRPr="00593EE6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pl-PL"/>
          <w14:ligatures w14:val="none"/>
        </w:rPr>
        <w:t xml:space="preserve">, </w:t>
      </w:r>
      <w:r w:rsidRPr="00593EE6">
        <w:rPr>
          <w:rFonts w:ascii="Times New Roman" w:eastAsia="Times New Roman" w:hAnsi="Times New Roman" w:cs="Times New Roman"/>
          <w:i/>
          <w:iCs/>
          <w:color w:val="00B050"/>
          <w:kern w:val="0"/>
          <w:sz w:val="24"/>
          <w:szCs w:val="24"/>
          <w:lang w:val="en-US" w:eastAsia="pl-PL"/>
          <w14:ligatures w14:val="none"/>
        </w:rPr>
        <w:t>121</w:t>
      </w:r>
      <w:r w:rsidRPr="00593EE6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pl-PL"/>
          <w14:ligatures w14:val="none"/>
        </w:rPr>
        <w:t>, 106783.</w:t>
      </w:r>
    </w:p>
    <w:p w14:paraId="664FB433" w14:textId="77777777" w:rsidR="00D44E5B" w:rsidRPr="00593EE6" w:rsidRDefault="00D44E5B" w:rsidP="000810E2">
      <w:pPr>
        <w:rPr>
          <w:lang w:val="en-US"/>
        </w:rPr>
      </w:pPr>
    </w:p>
    <w:p w14:paraId="7A19E3DF" w14:textId="132325E8" w:rsidR="00D44E5B" w:rsidRDefault="00CB3B1B" w:rsidP="00CB3B1B">
      <w:pPr>
        <w:rPr>
          <w:lang w:val="en-US"/>
        </w:rPr>
      </w:pPr>
      <w:r w:rsidRPr="00CB3B1B">
        <w:rPr>
          <w:lang w:val="en-US"/>
        </w:rPr>
        <w:t>social technologies used for</w:t>
      </w:r>
      <w:r>
        <w:rPr>
          <w:lang w:val="en-US"/>
        </w:rPr>
        <w:t xml:space="preserve"> </w:t>
      </w:r>
      <w:r w:rsidRPr="00CB3B1B">
        <w:rPr>
          <w:lang w:val="en-US"/>
        </w:rPr>
        <w:t>communication are sometimes associated with reduced loneliness</w:t>
      </w:r>
      <w:r>
        <w:rPr>
          <w:lang w:val="en-US"/>
        </w:rPr>
        <w:t xml:space="preserve"> </w:t>
      </w:r>
      <w:r w:rsidRPr="00CB3B1B">
        <w:rPr>
          <w:lang w:val="en-US"/>
        </w:rPr>
        <w:t>among older adults</w:t>
      </w:r>
    </w:p>
    <w:p w14:paraId="1D4B20B3" w14:textId="0DA882A0" w:rsidR="00004DB2" w:rsidRDefault="00004DB2" w:rsidP="00004DB2">
      <w:pPr>
        <w:rPr>
          <w:lang w:val="en-US"/>
        </w:rPr>
      </w:pPr>
      <w:r w:rsidRPr="00004DB2">
        <w:rPr>
          <w:lang w:val="en-US"/>
        </w:rPr>
        <w:t>The smartphone is a convenient device to</w:t>
      </w:r>
      <w:r>
        <w:rPr>
          <w:lang w:val="en-US"/>
        </w:rPr>
        <w:t xml:space="preserve"> </w:t>
      </w:r>
      <w:r w:rsidRPr="00004DB2">
        <w:rPr>
          <w:lang w:val="en-US"/>
        </w:rPr>
        <w:t>reduce social distance and give older adults a sense of social interaction.</w:t>
      </w:r>
      <w:r>
        <w:rPr>
          <w:lang w:val="en-US"/>
        </w:rPr>
        <w:t xml:space="preserve"> </w:t>
      </w:r>
      <w:r w:rsidRPr="00004DB2">
        <w:rPr>
          <w:lang w:val="en-US"/>
        </w:rPr>
        <w:t>According to the respondents’ usage statistics, older adults in this study</w:t>
      </w:r>
      <w:r>
        <w:rPr>
          <w:lang w:val="en-US"/>
        </w:rPr>
        <w:t xml:space="preserve"> </w:t>
      </w:r>
      <w:r w:rsidRPr="00004DB2">
        <w:rPr>
          <w:lang w:val="en-US"/>
        </w:rPr>
        <w:t>spent most of their smartphone time on social interaction activities such</w:t>
      </w:r>
      <w:r>
        <w:rPr>
          <w:lang w:val="en-US"/>
        </w:rPr>
        <w:t xml:space="preserve"> </w:t>
      </w:r>
      <w:r w:rsidRPr="00004DB2">
        <w:rPr>
          <w:lang w:val="en-US"/>
        </w:rPr>
        <w:t>as social networking, calling, instant messaging, and emailing.</w:t>
      </w:r>
    </w:p>
    <w:p w14:paraId="3C61D5BB" w14:textId="7F532092" w:rsidR="0022355A" w:rsidRDefault="0022355A" w:rsidP="0022355A">
      <w:pPr>
        <w:rPr>
          <w:lang w:val="en-US"/>
        </w:rPr>
      </w:pPr>
      <w:r w:rsidRPr="0022355A">
        <w:rPr>
          <w:lang w:val="en-US"/>
        </w:rPr>
        <w:t>Older adults prefer to cultivate smaller and more</w:t>
      </w:r>
      <w:r>
        <w:rPr>
          <w:lang w:val="en-US"/>
        </w:rPr>
        <w:t xml:space="preserve"> </w:t>
      </w:r>
      <w:r w:rsidRPr="0022355A">
        <w:rPr>
          <w:lang w:val="en-US"/>
        </w:rPr>
        <w:t>intimate online networks that reinforce</w:t>
      </w:r>
      <w:r>
        <w:rPr>
          <w:lang w:val="en-US"/>
        </w:rPr>
        <w:t xml:space="preserve"> </w:t>
      </w:r>
      <w:r w:rsidRPr="0022355A">
        <w:rPr>
          <w:lang w:val="en-US"/>
        </w:rPr>
        <w:t>their offline network</w:t>
      </w:r>
      <w:r>
        <w:rPr>
          <w:lang w:val="en-US"/>
        </w:rPr>
        <w:t>.</w:t>
      </w:r>
    </w:p>
    <w:p w14:paraId="0B3849AB" w14:textId="77777777" w:rsidR="00BF7B6A" w:rsidRDefault="00BF7B6A" w:rsidP="0022355A">
      <w:pPr>
        <w:rPr>
          <w:lang w:val="en-US"/>
        </w:rPr>
      </w:pPr>
    </w:p>
    <w:p w14:paraId="7C10BBE8" w14:textId="35FD4932" w:rsidR="00BF7B6A" w:rsidRPr="00BF7B6A" w:rsidRDefault="00BF7B6A" w:rsidP="0022355A">
      <w:pPr>
        <w:rPr>
          <w:color w:val="00B050"/>
          <w:lang w:val="en-US"/>
        </w:rPr>
      </w:pPr>
      <w:proofErr w:type="spellStart"/>
      <w:r w:rsidRPr="00BF7B6A">
        <w:rPr>
          <w:color w:val="00B050"/>
          <w:lang w:val="en-US"/>
        </w:rPr>
        <w:t>Seniorzy</w:t>
      </w:r>
      <w:proofErr w:type="spellEnd"/>
      <w:r w:rsidRPr="00BF7B6A">
        <w:rPr>
          <w:color w:val="00B050"/>
          <w:lang w:val="en-US"/>
        </w:rPr>
        <w:t xml:space="preserve"> w </w:t>
      </w:r>
      <w:proofErr w:type="spellStart"/>
      <w:r w:rsidRPr="00BF7B6A">
        <w:rPr>
          <w:color w:val="00B050"/>
          <w:lang w:val="en-US"/>
        </w:rPr>
        <w:t>świecie</w:t>
      </w:r>
      <w:proofErr w:type="spellEnd"/>
      <w:r w:rsidRPr="00BF7B6A">
        <w:rPr>
          <w:color w:val="00B050"/>
          <w:lang w:val="en-US"/>
        </w:rPr>
        <w:t xml:space="preserve"> </w:t>
      </w:r>
      <w:proofErr w:type="spellStart"/>
      <w:r w:rsidRPr="00BF7B6A">
        <w:rPr>
          <w:color w:val="00B050"/>
          <w:lang w:val="en-US"/>
        </w:rPr>
        <w:t>aplikacji</w:t>
      </w:r>
      <w:proofErr w:type="spellEnd"/>
      <w:r w:rsidRPr="00BF7B6A">
        <w:rPr>
          <w:color w:val="00B050"/>
          <w:lang w:val="en-US"/>
        </w:rPr>
        <w:t xml:space="preserve"> </w:t>
      </w:r>
      <w:proofErr w:type="spellStart"/>
      <w:r w:rsidRPr="00BF7B6A">
        <w:rPr>
          <w:color w:val="00B050"/>
          <w:lang w:val="en-US"/>
        </w:rPr>
        <w:t>mobilnych</w:t>
      </w:r>
      <w:proofErr w:type="spellEnd"/>
    </w:p>
    <w:p w14:paraId="4F80C9D4" w14:textId="1ACA25EE" w:rsidR="00BF7B6A" w:rsidRDefault="00BF7B6A" w:rsidP="00BF7B6A">
      <w:r>
        <w:t>W</w:t>
      </w:r>
      <w:r w:rsidRPr="00BF7B6A">
        <w:t xml:space="preserve">e </w:t>
      </w:r>
      <w:r>
        <w:t>09.</w:t>
      </w:r>
      <w:r w:rsidRPr="00BF7B6A">
        <w:t>2020 roku - na zlecenie Fundacji Przyszłość Pokoleń, Instytut Badań Rynkowych i Społecznych IBRIS przeprowadził ogólnopolskie badanie na grupie 1006 pełnoletnich mieszkańców Polski odnośnie wykorzystania przez nich aplikacji mobilnych.</w:t>
      </w:r>
    </w:p>
    <w:p w14:paraId="42F508E5" w14:textId="6CF9F95D" w:rsidR="00FF2548" w:rsidRDefault="00FF2548" w:rsidP="00FF2548">
      <w:pPr>
        <w:rPr>
          <w:color w:val="000000" w:themeColor="text1"/>
        </w:rPr>
      </w:pPr>
      <w:r>
        <w:t>Aż 77,4% osób w grupie wiekowej</w:t>
      </w:r>
      <w:r>
        <w:t xml:space="preserve"> </w:t>
      </w:r>
      <w:r>
        <w:t>60-69 lat oraz 60,4% osób powyżej 70. roku życia deklaruje posiadanie smartfonu (w grupie wiekowej</w:t>
      </w:r>
      <w:r>
        <w:t xml:space="preserve"> </w:t>
      </w:r>
      <w:r>
        <w:t>18-29 lat i 30-39 lat odsetek ten sięga odpowiednio: 97,1% i 98,3%).</w:t>
      </w:r>
      <w:r>
        <w:t xml:space="preserve"> </w:t>
      </w:r>
      <w:r>
        <w:rPr>
          <w:color w:val="00B050"/>
        </w:rPr>
        <w:t xml:space="preserve">Seniorzy częściej korzystają ze </w:t>
      </w:r>
      <w:proofErr w:type="spellStart"/>
      <w:r>
        <w:rPr>
          <w:color w:val="00B050"/>
        </w:rPr>
        <w:t>smartfona</w:t>
      </w:r>
      <w:proofErr w:type="spellEnd"/>
      <w:r>
        <w:rPr>
          <w:color w:val="00B050"/>
        </w:rPr>
        <w:t xml:space="preserve"> niż deklarują korzystanie z </w:t>
      </w:r>
      <w:proofErr w:type="spellStart"/>
      <w:r>
        <w:rPr>
          <w:color w:val="00B050"/>
        </w:rPr>
        <w:t>internetu</w:t>
      </w:r>
      <w:proofErr w:type="spellEnd"/>
      <w:r>
        <w:rPr>
          <w:color w:val="00B050"/>
        </w:rPr>
        <w:t xml:space="preserve"> (na komputerze).</w:t>
      </w:r>
      <w:r>
        <w:rPr>
          <w:color w:val="000000" w:themeColor="text1"/>
        </w:rPr>
        <w:t xml:space="preserve"> </w:t>
      </w:r>
    </w:p>
    <w:p w14:paraId="5361BFC4" w14:textId="77777777" w:rsidR="00FF2548" w:rsidRDefault="00FF2548" w:rsidP="00FF2548">
      <w:pPr>
        <w:rPr>
          <w:color w:val="000000" w:themeColor="text1"/>
        </w:rPr>
      </w:pPr>
    </w:p>
    <w:p w14:paraId="615DBB00" w14:textId="6053DB2B" w:rsidR="00FF2548" w:rsidRDefault="00FF2548" w:rsidP="00FF2548">
      <w:pPr>
        <w:rPr>
          <w:color w:val="000000" w:themeColor="text1"/>
        </w:rPr>
      </w:pPr>
      <w:r w:rsidRPr="00FF2548">
        <w:rPr>
          <w:color w:val="000000" w:themeColor="text1"/>
        </w:rPr>
        <w:drawing>
          <wp:inline distT="0" distB="0" distL="0" distR="0" wp14:anchorId="0C0BF6C9" wp14:editId="1E252484">
            <wp:extent cx="5760720" cy="2540000"/>
            <wp:effectExtent l="0" t="0" r="0" b="0"/>
            <wp:docPr id="8927161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16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F827" w14:textId="0692427B" w:rsidR="00FF2548" w:rsidRDefault="00631A7E" w:rsidP="00FF2548">
      <w:pPr>
        <w:rPr>
          <w:color w:val="000000" w:themeColor="text1"/>
        </w:rPr>
      </w:pPr>
      <w:r w:rsidRPr="00631A7E">
        <w:rPr>
          <w:color w:val="000000" w:themeColor="text1"/>
        </w:rPr>
        <w:lastRenderedPageBreak/>
        <w:drawing>
          <wp:inline distT="0" distB="0" distL="0" distR="0" wp14:anchorId="340D16D7" wp14:editId="0066CFB8">
            <wp:extent cx="5760720" cy="2713990"/>
            <wp:effectExtent l="0" t="0" r="0" b="0"/>
            <wp:docPr id="20547529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52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6DB1" w14:textId="77777777" w:rsidR="00631A7E" w:rsidRPr="00FF2548" w:rsidRDefault="00631A7E" w:rsidP="00FF2548">
      <w:pPr>
        <w:rPr>
          <w:color w:val="000000" w:themeColor="text1"/>
        </w:rPr>
      </w:pPr>
    </w:p>
    <w:sectPr w:rsidR="00631A7E" w:rsidRPr="00FF2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CC"/>
    <w:rsid w:val="00004DB2"/>
    <w:rsid w:val="000810E2"/>
    <w:rsid w:val="000F1B54"/>
    <w:rsid w:val="0022355A"/>
    <w:rsid w:val="00227A30"/>
    <w:rsid w:val="0039563C"/>
    <w:rsid w:val="0041414C"/>
    <w:rsid w:val="00593EE6"/>
    <w:rsid w:val="00613BFE"/>
    <w:rsid w:val="00631A7E"/>
    <w:rsid w:val="00822CCC"/>
    <w:rsid w:val="008740F8"/>
    <w:rsid w:val="00BB7873"/>
    <w:rsid w:val="00BF7B6A"/>
    <w:rsid w:val="00CB3B1B"/>
    <w:rsid w:val="00D17DB0"/>
    <w:rsid w:val="00D44E5B"/>
    <w:rsid w:val="00E45D22"/>
    <w:rsid w:val="00F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32E1"/>
  <w15:chartTrackingRefBased/>
  <w15:docId w15:val="{01BA6EEA-6FA3-44B1-94A2-A5A3BAF0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22CC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22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openresearch.ocadu.ca/id/eprint/100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i.org/10.3390/ijerph181472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2563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leśnicka</dc:creator>
  <cp:keywords/>
  <dc:description/>
  <cp:lastModifiedBy>agata leśnicka</cp:lastModifiedBy>
  <cp:revision>2</cp:revision>
  <dcterms:created xsi:type="dcterms:W3CDTF">2024-06-22T16:09:00Z</dcterms:created>
  <dcterms:modified xsi:type="dcterms:W3CDTF">2024-06-22T16:09:00Z</dcterms:modified>
</cp:coreProperties>
</file>