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2E" w:rsidRDefault="0035772E" w:rsidP="0035772E">
      <w:pPr>
        <w:jc w:val="both"/>
        <w:rPr>
          <w:b/>
        </w:rPr>
      </w:pPr>
      <w:r>
        <w:rPr>
          <w:b/>
        </w:rPr>
        <w:t xml:space="preserve">Оценка погрешности </w:t>
      </w:r>
      <w:r w:rsidR="00293D3D">
        <w:rPr>
          <w:b/>
        </w:rPr>
        <w:t xml:space="preserve">линейной </w:t>
      </w:r>
      <w:r>
        <w:rPr>
          <w:b/>
        </w:rPr>
        <w:t>интерполяции</w:t>
      </w:r>
    </w:p>
    <w:p w:rsidR="0035772E" w:rsidRDefault="0035772E" w:rsidP="0035772E">
      <w:pPr>
        <w:jc w:val="both"/>
      </w:pPr>
    </w:p>
    <w:p w:rsidR="00293D3D" w:rsidRDefault="00293D3D" w:rsidP="0035772E">
      <w:pPr>
        <w:jc w:val="both"/>
      </w:pPr>
    </w:p>
    <w:p w:rsidR="00293D3D" w:rsidRDefault="00293D3D" w:rsidP="0035772E">
      <w:pPr>
        <w:jc w:val="both"/>
      </w:pPr>
      <w:r w:rsidRPr="00715B43">
        <w:t>Модель наблюдения</w:t>
      </w:r>
      <w:r w:rsidRPr="00293D3D">
        <w:rPr>
          <w:b/>
        </w:rPr>
        <w:t xml:space="preserve"> </w:t>
      </w:r>
      <w:r>
        <w:t>(</w:t>
      </w:r>
      <w:r w:rsidR="00715B43">
        <w:t xml:space="preserve">все </w:t>
      </w:r>
      <w:r>
        <w:t>обозначения – из статьи):</w:t>
      </w:r>
    </w:p>
    <w:p w:rsidR="000B35BB" w:rsidRDefault="000B35BB" w:rsidP="0035772E">
      <w:pPr>
        <w:jc w:val="both"/>
      </w:pPr>
    </w:p>
    <w:p w:rsidR="00293D3D" w:rsidRPr="00715B43" w:rsidRDefault="000C2C23" w:rsidP="0035772E">
      <w:pPr>
        <w:jc w:val="both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nT-τ</m:t>
                  </m:r>
                </m:e>
              </m:d>
            </m:e>
          </m:nary>
          <m:r>
            <w:rPr>
              <w:rFonts w:ascii="Cambria Math" w:hAnsi="Cambria Math"/>
            </w:rPr>
            <m:t>dτ+v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                                           (1)</m:t>
          </m:r>
        </m:oMath>
      </m:oMathPara>
    </w:p>
    <w:p w:rsidR="00293D3D" w:rsidRDefault="00293D3D" w:rsidP="00715B43">
      <w:pPr>
        <w:spacing w:before="120" w:after="120"/>
        <w:jc w:val="both"/>
      </w:pPr>
      <w:r>
        <w:t xml:space="preserve">Линейная интерполяция на </w:t>
      </w:r>
      <w:proofErr w:type="gramStart"/>
      <w:r>
        <w:t>интервале</w:t>
      </w:r>
      <w:r w:rsidR="00715B43">
        <w:t xml:space="preserve"> 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T</m:t>
        </m:r>
      </m:oMath>
      <w:r>
        <w:t>:</w:t>
      </w:r>
      <w:proofErr w:type="gramEnd"/>
    </w:p>
    <w:p w:rsidR="00293D3D" w:rsidRPr="00715B43" w:rsidRDefault="000C2C23" w:rsidP="00715B43">
      <w:pPr>
        <w:spacing w:after="120"/>
        <w:jc w:val="both"/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(в)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(2)</m:t>
          </m:r>
        </m:oMath>
      </m:oMathPara>
    </w:p>
    <w:p w:rsidR="004366BE" w:rsidRDefault="004366BE" w:rsidP="00634267">
      <w:pPr>
        <w:spacing w:after="120"/>
        <w:jc w:val="both"/>
      </w:pPr>
    </w:p>
    <w:p w:rsidR="00715B43" w:rsidRDefault="00715B43" w:rsidP="00634267">
      <w:pPr>
        <w:spacing w:after="120"/>
        <w:jc w:val="both"/>
      </w:pPr>
      <w:r>
        <w:t>Ошибка интерполяционного восстановления на том же интервале:</w:t>
      </w:r>
    </w:p>
    <w:p w:rsidR="00715B43" w:rsidRDefault="00634267" w:rsidP="00634267">
      <w:pPr>
        <w:spacing w:after="120"/>
        <w:jc w:val="both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(в)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293D3D" w:rsidRDefault="00634267" w:rsidP="00634267">
      <w:pPr>
        <w:spacing w:after="120"/>
        <w:jc w:val="both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715B43" w:rsidRDefault="00634267" w:rsidP="00634267">
      <w:pPr>
        <w:spacing w:after="120"/>
        <w:jc w:val="both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-τ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dτ+v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dτ+v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C7619D" w:rsidRDefault="00C7619D" w:rsidP="00C7619D">
      <w:pPr>
        <w:spacing w:after="120"/>
        <w:jc w:val="both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-τ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dτ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715B43" w:rsidRPr="00C7619D" w:rsidRDefault="00C7619D" w:rsidP="00C7619D">
      <w:pPr>
        <w:spacing w:after="120"/>
        <w:jc w:val="both"/>
        <w:rPr>
          <w:i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,                                (3)</m:t>
          </m:r>
        </m:oMath>
      </m:oMathPara>
    </w:p>
    <w:p w:rsidR="00715B43" w:rsidRPr="00C7619D" w:rsidRDefault="00C7619D" w:rsidP="00C7619D">
      <w:pPr>
        <w:spacing w:after="120"/>
        <w:jc w:val="both"/>
      </w:pPr>
      <w:r>
        <w:t>где</w:t>
      </w:r>
    </w:p>
    <w:p w:rsidR="00715B43" w:rsidRPr="00C7619D" w:rsidRDefault="000C2C23" w:rsidP="00C7619D">
      <w:pPr>
        <w:spacing w:after="120"/>
        <w:jc w:val="both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-τ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dτ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dτ</m:t>
              </m:r>
            </m:e>
          </m:d>
          <m:r>
            <w:rPr>
              <w:rFonts w:ascii="Cambria Math" w:hAnsi="Cambria Math"/>
            </w:rPr>
            <m:t>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(4)</m:t>
          </m:r>
        </m:oMath>
      </m:oMathPara>
    </w:p>
    <w:p w:rsidR="00715B43" w:rsidRDefault="00C7619D" w:rsidP="00C7619D">
      <w:pPr>
        <w:spacing w:after="120"/>
        <w:jc w:val="both"/>
      </w:pPr>
      <w:r>
        <w:t>- часть ошибки, связанная с сигналом,</w:t>
      </w:r>
    </w:p>
    <w:p w:rsidR="00C7619D" w:rsidRPr="00C7619D" w:rsidRDefault="000C2C23" w:rsidP="00C7619D">
      <w:pPr>
        <w:spacing w:after="120"/>
        <w:jc w:val="both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(5)</m:t>
          </m:r>
        </m:oMath>
      </m:oMathPara>
    </w:p>
    <w:p w:rsidR="00293D3D" w:rsidRDefault="00C7619D" w:rsidP="00C7619D">
      <w:pPr>
        <w:spacing w:after="120"/>
        <w:jc w:val="both"/>
      </w:pPr>
      <w:r>
        <w:t xml:space="preserve">- часть ошибки, связанная с шумом. </w:t>
      </w:r>
      <w:r w:rsidR="00427764">
        <w:t>Если и сигнал, и шум независимые случайные процессы, то эти части ошибки можно рассматривать отдельно, как и их дисперсии:</w:t>
      </w:r>
    </w:p>
    <w:p w:rsidR="00427764" w:rsidRPr="00427764" w:rsidRDefault="000C2C23" w:rsidP="00C7619D">
      <w:pPr>
        <w:spacing w:after="120"/>
        <w:jc w:val="both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(x)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(v)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(6)</m:t>
          </m:r>
        </m:oMath>
      </m:oMathPara>
    </w:p>
    <w:p w:rsidR="00427764" w:rsidRDefault="00427764" w:rsidP="00C7619D">
      <w:pPr>
        <w:spacing w:after="120"/>
        <w:jc w:val="both"/>
      </w:pPr>
      <w:r>
        <w:t>Рассмотрим отдельно слагаемые в формуле (6):</w:t>
      </w:r>
    </w:p>
    <w:p w:rsidR="00427764" w:rsidRDefault="000C2C23" w:rsidP="00C7619D">
      <w:pPr>
        <w:spacing w:after="120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(x)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27764" w:rsidRPr="000A54F0" w:rsidRDefault="007C3656" w:rsidP="000A54F0">
      <w:pPr>
        <w:spacing w:after="1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-τ</m:t>
                                  </m:r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dτ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T-τ</m:t>
                                  </m:r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dτ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27764" w:rsidRPr="000A54F0" w:rsidRDefault="007C3656" w:rsidP="000A54F0">
      <w:pPr>
        <w:spacing w:after="1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-τ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dτ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-θ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427764" w:rsidRPr="000A54F0" w:rsidRDefault="000A54F0" w:rsidP="000A54F0">
      <w:pPr>
        <w:spacing w:after="1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dτ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T-θ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C7619D" w:rsidRPr="000A54F0" w:rsidRDefault="000A54F0" w:rsidP="000A54F0">
      <w:pPr>
        <w:spacing w:after="1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+M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0A54F0" w:rsidRPr="000A54F0" w:rsidRDefault="000A54F0" w:rsidP="000A54F0">
      <w:pPr>
        <w:spacing w:after="1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-τ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dτ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T-θ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</m:oMath>
      </m:oMathPara>
    </w:p>
    <w:p w:rsidR="008309F9" w:rsidRPr="000A54F0" w:rsidRDefault="000A54F0" w:rsidP="0066288F">
      <w:pPr>
        <w:spacing w:after="120"/>
        <w:jc w:val="both"/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-τ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dτ</m:t>
              </m:r>
            </m:e>
          </m:d>
          <m:r>
            <w:rPr>
              <w:rFonts w:ascii="Cambria Math" w:hAnsi="Cambria Math"/>
            </w:rPr>
            <m:t>-</m:t>
          </m:r>
        </m:oMath>
      </m:oMathPara>
    </w:p>
    <w:p w:rsidR="000A54F0" w:rsidRPr="009B7F39" w:rsidRDefault="009B7F39" w:rsidP="0066288F">
      <w:pPr>
        <w:spacing w:after="120"/>
        <w:jc w:val="both"/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dτ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0A54F0" w:rsidRPr="009B7F39" w:rsidRDefault="000A54F0" w:rsidP="0066288F">
      <w:pPr>
        <w:spacing w:after="120"/>
        <w:jc w:val="both"/>
        <w:rPr>
          <w:b/>
          <w:lang w:val="en-US"/>
        </w:rPr>
      </w:pPr>
    </w:p>
    <w:p w:rsidR="009B7F39" w:rsidRPr="000A54F0" w:rsidRDefault="009B7F39" w:rsidP="009B7F39">
      <w:pPr>
        <w:spacing w:after="1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τ-θ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  <m:r>
                <w:rPr>
                  <w:rFonts w:ascii="Cambria Math" w:hAnsi="Cambria Math"/>
                </w:rPr>
                <m:t xml:space="preserve">dθ </m:t>
              </m:r>
            </m:e>
          </m:nary>
          <m:r>
            <w:rPr>
              <w:rFonts w:ascii="Cambria Math" w:hAnsi="Cambria Math"/>
            </w:rPr>
            <m:t>+</m:t>
          </m:r>
        </m:oMath>
      </m:oMathPara>
    </w:p>
    <w:p w:rsidR="0015237B" w:rsidRPr="0015237B" w:rsidRDefault="0015237B" w:rsidP="009B7F39">
      <w:pPr>
        <w:spacing w:after="1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τ-θ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  <m:r>
                <w:rPr>
                  <w:rFonts w:ascii="Cambria Math" w:hAnsi="Cambria Math"/>
                </w:rPr>
                <m:t xml:space="preserve">dθ </m:t>
              </m:r>
            </m:e>
          </m:nary>
          <m:r>
            <w:rPr>
              <w:rFonts w:ascii="Cambria Math" w:hAnsi="Cambria Math"/>
            </w:rPr>
            <m:t>+</m:t>
          </m:r>
        </m:oMath>
      </m:oMathPara>
    </w:p>
    <w:p w:rsidR="009B7F39" w:rsidRPr="0015237B" w:rsidRDefault="009B7F39" w:rsidP="009B7F39">
      <w:pPr>
        <w:spacing w:after="1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</m:oMath>
      </m:oMathPara>
    </w:p>
    <w:p w:rsidR="0015237B" w:rsidRPr="000A54F0" w:rsidRDefault="0015237B" w:rsidP="009B7F39">
      <w:pPr>
        <w:spacing w:after="1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T+τ-θ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  <m:r>
                <w:rPr>
                  <w:rFonts w:ascii="Cambria Math" w:hAnsi="Cambria Math"/>
                </w:rPr>
                <m:t xml:space="preserve">dθ </m:t>
              </m:r>
            </m:e>
          </m:nary>
          <m:r>
            <w:rPr>
              <w:rFonts w:ascii="Cambria Math" w:hAnsi="Cambria Math"/>
            </w:rPr>
            <m:t>-</m:t>
          </m:r>
        </m:oMath>
      </m:oMathPara>
    </w:p>
    <w:p w:rsidR="009B7F39" w:rsidRPr="000A54F0" w:rsidRDefault="009B7F39" w:rsidP="009B7F39">
      <w:pPr>
        <w:spacing w:after="120"/>
        <w:jc w:val="both"/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τ+t</m:t>
                  </m:r>
                </m:e>
              </m:d>
            </m:e>
          </m:nary>
          <m:r>
            <w:rPr>
              <w:rFonts w:ascii="Cambria Math" w:hAnsi="Cambria Math"/>
            </w:rPr>
            <m:t>dτ-</m:t>
          </m:r>
        </m:oMath>
      </m:oMathPara>
    </w:p>
    <w:p w:rsidR="000A54F0" w:rsidRPr="00677896" w:rsidRDefault="009B7F39" w:rsidP="009B7F39">
      <w:pPr>
        <w:spacing w:after="1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T-τ-t</m:t>
                  </m:r>
                </m:e>
              </m:d>
            </m:e>
          </m:nary>
          <m:r>
            <w:rPr>
              <w:rFonts w:ascii="Cambria Math" w:hAnsi="Cambria Math"/>
            </w:rPr>
            <m:t>dτ=</m:t>
          </m:r>
        </m:oMath>
      </m:oMathPara>
    </w:p>
    <w:p w:rsidR="00677896" w:rsidRPr="009B7F39" w:rsidRDefault="00677896" w:rsidP="009B7F39">
      <w:pPr>
        <w:spacing w:after="120"/>
        <w:jc w:val="both"/>
        <w:rPr>
          <w:b/>
        </w:rPr>
      </w:pPr>
    </w:p>
    <w:p w:rsidR="00677896" w:rsidRPr="00677896" w:rsidRDefault="00677896" w:rsidP="00677896">
      <w:pPr>
        <w:spacing w:after="120"/>
        <w:jc w:val="both"/>
        <w:rPr>
          <w:highlight w:val="gree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highlight w:val="green"/>
                </w:rPr>
              </m:ctrlPr>
            </m:naryPr>
            <m:sub>
              <m:r>
                <w:rPr>
                  <w:rFonts w:ascii="Cambria Math" w:hAnsi="Cambria Math"/>
                  <w:highlight w:val="green"/>
                </w:rPr>
                <m:t>-∞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green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highlight w:val="gree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τ-θ</m:t>
                      </m:r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>dτ</m:t>
                  </m:r>
                </m:e>
              </m:nary>
              <m:r>
                <w:rPr>
                  <w:rFonts w:ascii="Cambria Math" w:hAnsi="Cambria Math"/>
                  <w:highlight w:val="green"/>
                </w:rPr>
                <m:t xml:space="preserve">dθ </m:t>
              </m:r>
            </m:e>
          </m:nary>
          <m:r>
            <w:rPr>
              <w:rFonts w:ascii="Cambria Math" w:hAnsi="Cambria Math"/>
              <w:highlight w:val="gree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D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x</m:t>
              </m:r>
            </m:sub>
          </m:sSub>
          <m:r>
            <w:rPr>
              <w:rFonts w:ascii="Cambria Math" w:hAnsi="Cambria Math"/>
              <w:highlight w:val="green"/>
            </w:rPr>
            <m:t>+</m:t>
          </m:r>
        </m:oMath>
      </m:oMathPara>
    </w:p>
    <w:p w:rsidR="00677896" w:rsidRPr="00677896" w:rsidRDefault="00677896" w:rsidP="00677896">
      <w:pPr>
        <w:spacing w:after="120"/>
        <w:jc w:val="both"/>
        <w:rPr>
          <w:highlight w:val="gree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green"/>
            </w:rPr>
            <m:t>+2</m:t>
          </m:r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highlight w:val="green"/>
                    </w:rPr>
                    <m:t>T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highlight w:val="green"/>
                </w:rPr>
              </m:ctrlPr>
            </m:naryPr>
            <m:sub>
              <m:r>
                <w:rPr>
                  <w:rFonts w:ascii="Cambria Math" w:hAnsi="Cambria Math"/>
                  <w:highlight w:val="green"/>
                </w:rPr>
                <m:t>-∞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green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highlight w:val="gree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T+τ-θ</m:t>
                      </m:r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>dτ</m:t>
                  </m:r>
                </m:e>
              </m:nary>
              <m:r>
                <w:rPr>
                  <w:rFonts w:ascii="Cambria Math" w:hAnsi="Cambria Math"/>
                  <w:highlight w:val="green"/>
                </w:rPr>
                <m:t xml:space="preserve">dθ </m:t>
              </m:r>
            </m:e>
          </m:nary>
          <m:r>
            <w:rPr>
              <w:rFonts w:ascii="Cambria Math" w:hAnsi="Cambria Math"/>
              <w:highlight w:val="green"/>
            </w:rPr>
            <m:t>-</m:t>
          </m:r>
        </m:oMath>
      </m:oMathPara>
    </w:p>
    <w:p w:rsidR="00677896" w:rsidRPr="000A54F0" w:rsidRDefault="00677896" w:rsidP="00677896">
      <w:pPr>
        <w:spacing w:after="120"/>
        <w:jc w:val="both"/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green"/>
            </w:rPr>
            <m:t>-2</m:t>
          </m:r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highlight w:val="green"/>
                    </w:rPr>
                    <m:t>T</m:t>
                  </m:r>
                </m:den>
              </m:f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highlight w:val="green"/>
                </w:rPr>
              </m:ctrlPr>
            </m:naryPr>
            <m:sub>
              <m:r>
                <w:rPr>
                  <w:rFonts w:ascii="Cambria Math" w:hAnsi="Cambria Math"/>
                  <w:highlight w:val="green"/>
                </w:rPr>
                <m:t>-∞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∞</m:t>
              </m:r>
            </m:sup>
            <m:e>
              <m:r>
                <w:rPr>
                  <w:rFonts w:ascii="Cambria Math" w:hAnsi="Cambria Math"/>
                  <w:highlight w:val="green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τ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τ+t</m:t>
                  </m:r>
                </m:e>
              </m:d>
            </m:e>
          </m:nary>
          <m:r>
            <w:rPr>
              <w:rFonts w:ascii="Cambria Math" w:hAnsi="Cambria Math"/>
              <w:highlight w:val="green"/>
            </w:rPr>
            <m:t>dτ-2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T</m:t>
              </m:r>
            </m:den>
          </m:f>
          <m:r>
            <w:rPr>
              <w:rFonts w:ascii="Cambria Math" w:hAnsi="Cambria Math"/>
              <w:highlight w:val="green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highlight w:val="green"/>
                </w:rPr>
              </m:ctrlPr>
            </m:naryPr>
            <m:sub>
              <m:r>
                <w:rPr>
                  <w:rFonts w:ascii="Cambria Math" w:hAnsi="Cambria Math"/>
                  <w:highlight w:val="green"/>
                </w:rPr>
                <m:t>-∞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∞</m:t>
              </m:r>
            </m:sup>
            <m:e>
              <m:r>
                <w:rPr>
                  <w:rFonts w:ascii="Cambria Math" w:hAnsi="Cambria Math"/>
                  <w:highlight w:val="green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τ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T-τ-t</m:t>
                  </m:r>
                </m:e>
              </m:d>
            </m:e>
          </m:nary>
          <m:r>
            <w:rPr>
              <w:rFonts w:ascii="Cambria Math" w:hAnsi="Cambria Math"/>
              <w:highlight w:val="green"/>
            </w:rPr>
            <m:t>dτ</m:t>
          </m:r>
          <m:r>
            <w:rPr>
              <w:rFonts w:ascii="Cambria Math" w:hAnsi="Cambria Math"/>
            </w:rPr>
            <m:t xml:space="preserve">                                                  (7)</m:t>
          </m:r>
        </m:oMath>
      </m:oMathPara>
    </w:p>
    <w:p w:rsidR="000A54F0" w:rsidRPr="00677896" w:rsidRDefault="00677896" w:rsidP="0066288F">
      <w:pPr>
        <w:spacing w:after="120"/>
        <w:jc w:val="both"/>
      </w:pPr>
      <w:r w:rsidRPr="00677896">
        <w:rPr>
          <w:u w:val="single"/>
        </w:rPr>
        <w:t>Частный случай</w:t>
      </w:r>
      <w:r>
        <w:t xml:space="preserve"> – отсутствие динамических искажений (в качестве проверки): </w:t>
      </w:r>
    </w:p>
    <w:p w:rsidR="00677896" w:rsidRPr="00677896" w:rsidRDefault="00677896" w:rsidP="0066288F">
      <w:pPr>
        <w:spacing w:after="120"/>
        <w:jc w:val="both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</m:oMath>
      </m:oMathPara>
    </w:p>
    <w:p w:rsidR="00677896" w:rsidRDefault="00677896" w:rsidP="0066288F">
      <w:pPr>
        <w:spacing w:after="120"/>
        <w:jc w:val="both"/>
      </w:pPr>
      <w:r>
        <w:t>- дельта-функция. При этом (7) упрощается:</w:t>
      </w:r>
    </w:p>
    <w:p w:rsidR="00677896" w:rsidRDefault="000C2C23" w:rsidP="0066288F">
      <w:pPr>
        <w:spacing w:after="120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(x)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677896" w:rsidRPr="00C52209" w:rsidRDefault="00677896" w:rsidP="00677896">
      <w:pPr>
        <w:spacing w:after="120"/>
        <w:jc w:val="both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T-t</m:t>
              </m:r>
            </m:e>
          </m:d>
          <m:r>
            <w:rPr>
              <w:rFonts w:ascii="Cambria Math" w:hAnsi="Cambria Math"/>
            </w:rPr>
            <m:t xml:space="preserve">   .         (8)</m:t>
          </m:r>
        </m:oMath>
      </m:oMathPara>
    </w:p>
    <w:p w:rsidR="00677896" w:rsidRDefault="00C52209" w:rsidP="0066288F">
      <w:pPr>
        <w:spacing w:after="120"/>
        <w:jc w:val="both"/>
      </w:pPr>
      <w:r>
        <w:t>Для экспоненциальной АКФ и сильно коррелированного сигнала</w:t>
      </w:r>
    </w:p>
    <w:p w:rsidR="00C52209" w:rsidRPr="00114167" w:rsidRDefault="000C2C23" w:rsidP="0066288F">
      <w:pPr>
        <w:spacing w:after="12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≈1-αθ   </m:t>
          </m:r>
        </m:oMath>
      </m:oMathPara>
    </w:p>
    <w:p w:rsidR="007C3656" w:rsidRDefault="00114167" w:rsidP="0066288F">
      <w:pPr>
        <w:spacing w:after="120"/>
        <w:jc w:val="both"/>
      </w:pPr>
      <w:r>
        <w:t>и из (8) получаем:</w:t>
      </w:r>
    </w:p>
    <w:p w:rsidR="00114167" w:rsidRDefault="00114167" w:rsidP="00114167">
      <w:pPr>
        <w:spacing w:after="120"/>
        <w:jc w:val="both"/>
      </w:pPr>
      <m:oMathPara>
        <m:oMath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+1+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114167" w:rsidRDefault="00114167" w:rsidP="00114167">
      <w:pPr>
        <w:spacing w:after="120"/>
        <w:jc w:val="both"/>
      </w:pPr>
      <m:oMathPara>
        <m:oMath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+1+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+α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+ 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114167" w:rsidRPr="00327A6B" w:rsidRDefault="000424BF" w:rsidP="0066288F">
      <w:pPr>
        <w:spacing w:after="120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highlight w:val="green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D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x</m:t>
              </m:r>
            </m:sub>
          </m:sSub>
          <m:r>
            <w:rPr>
              <w:rFonts w:ascii="Cambria Math" w:hAnsi="Cambria Math"/>
              <w:highlight w:val="green"/>
            </w:rPr>
            <m:t>αT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highlight w:val="green"/>
                    </w:rPr>
                    <m:t>T</m:t>
                  </m:r>
                </m:den>
              </m:f>
            </m:e>
          </m:d>
        </m:oMath>
      </m:oMathPara>
    </w:p>
    <w:p w:rsidR="00327A6B" w:rsidRDefault="00327A6B" w:rsidP="0066288F">
      <w:pPr>
        <w:spacing w:after="120"/>
        <w:jc w:val="both"/>
      </w:pPr>
      <w:r>
        <w:t>- всё весьма правдоподобно.</w:t>
      </w:r>
    </w:p>
    <w:p w:rsidR="00327A6B" w:rsidRPr="00327A6B" w:rsidRDefault="00327A6B" w:rsidP="0066288F">
      <w:pPr>
        <w:spacing w:after="120"/>
        <w:jc w:val="both"/>
      </w:pPr>
    </w:p>
    <w:p w:rsidR="00327A6B" w:rsidRPr="00092520" w:rsidRDefault="00092520" w:rsidP="0066288F">
      <w:pPr>
        <w:spacing w:after="120"/>
        <w:jc w:val="both"/>
      </w:pPr>
      <w:r>
        <w:t xml:space="preserve">Второе слагаемое дисперсии ошибки (с учетом того, что шум – белый с </w:t>
      </w:r>
      <w:proofErr w:type="gramStart"/>
      <w:r>
        <w:t xml:space="preserve">дисперсией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t>:</w:t>
      </w:r>
      <w:proofErr w:type="gramEnd"/>
      <w:r>
        <w:t xml:space="preserve"> </w:t>
      </w:r>
    </w:p>
    <w:p w:rsidR="00327A6B" w:rsidRPr="00092520" w:rsidRDefault="000C2C23" w:rsidP="0066288F">
      <w:pPr>
        <w:spacing w:after="120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(v)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092520" w:rsidRPr="00831DF8" w:rsidRDefault="00092520" w:rsidP="0066288F">
      <w:pPr>
        <w:spacing w:after="120"/>
        <w:jc w:val="both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D</m:t>
              </m:r>
            </m:e>
            <m:sub>
              <m:r>
                <w:rPr>
                  <w:rFonts w:ascii="Cambria Math" w:hAnsi="Cambria Math"/>
                  <w:highlight w:val="green"/>
                  <w:lang w:val="en-US"/>
                </w:rPr>
                <m:t>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1-2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highlight w:val="green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green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green"/>
                        </w:rPr>
                        <m:t>T</m:t>
                      </m:r>
                    </m:den>
                  </m:f>
                </m:e>
              </m:d>
            </m:e>
          </m:d>
        </m:oMath>
      </m:oMathPara>
    </w:p>
    <w:p w:rsidR="00831DF8" w:rsidRDefault="00831DF8" w:rsidP="0066288F">
      <w:pPr>
        <w:spacing w:after="120"/>
        <w:jc w:val="both"/>
      </w:pPr>
    </w:p>
    <w:p w:rsidR="00831DF8" w:rsidRDefault="00831DF8" w:rsidP="0066288F">
      <w:pPr>
        <w:spacing w:after="120"/>
        <w:jc w:val="both"/>
      </w:pPr>
    </w:p>
    <w:p w:rsidR="00831DF8" w:rsidRDefault="00831DF8" w:rsidP="0066288F">
      <w:pPr>
        <w:spacing w:after="120"/>
        <w:jc w:val="both"/>
      </w:pPr>
      <w:r w:rsidRPr="00831DF8">
        <w:rPr>
          <w:b/>
        </w:rPr>
        <w:t>ПРОДОЛЖЕНИЕ</w:t>
      </w:r>
      <w:r>
        <w:t xml:space="preserve"> с формулы (7)</w:t>
      </w:r>
    </w:p>
    <w:p w:rsidR="00831DF8" w:rsidRDefault="00831DF8" w:rsidP="0066288F">
      <w:pPr>
        <w:spacing w:after="120"/>
        <w:jc w:val="both"/>
      </w:pPr>
      <w:r>
        <w:t>Обозначим</w:t>
      </w:r>
    </w:p>
    <w:p w:rsidR="00831DF8" w:rsidRPr="001D58E8" w:rsidRDefault="000C2C23" w:rsidP="0066288F">
      <w:pPr>
        <w:spacing w:after="1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:rsidR="001D58E8" w:rsidRDefault="001D58E8" w:rsidP="0066288F">
      <w:pPr>
        <w:spacing w:after="120"/>
        <w:jc w:val="both"/>
      </w:pPr>
      <w:r>
        <w:t xml:space="preserve">И учтем, что </w:t>
      </w:r>
    </w:p>
    <w:p w:rsidR="001D58E8" w:rsidRDefault="001D58E8" w:rsidP="0066288F">
      <w:pPr>
        <w:spacing w:after="120"/>
        <w:jc w:val="both"/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</w:rPr>
            <m:t>dτ</m:t>
          </m:r>
          <m:r>
            <w:rPr>
              <w:rFonts w:ascii="Cambria Math" w:hAnsi="Cambria Math"/>
            </w:rPr>
            <m:t>=1 .</m:t>
          </m:r>
        </m:oMath>
      </m:oMathPara>
    </w:p>
    <w:p w:rsidR="001D58E8" w:rsidRPr="00831DF8" w:rsidRDefault="001D58E8" w:rsidP="0066288F">
      <w:pPr>
        <w:spacing w:after="120"/>
        <w:jc w:val="both"/>
      </w:pPr>
    </w:p>
    <w:p w:rsidR="00831DF8" w:rsidRDefault="00831DF8" w:rsidP="0066288F">
      <w:pPr>
        <w:spacing w:after="120"/>
        <w:jc w:val="both"/>
      </w:pPr>
      <w:r>
        <w:t>Тогда</w:t>
      </w:r>
    </w:p>
    <w:p w:rsidR="001D58E8" w:rsidRPr="00677896" w:rsidRDefault="001D58E8" w:rsidP="001D58E8">
      <w:pPr>
        <w:spacing w:after="120"/>
        <w:jc w:val="both"/>
        <w:rPr>
          <w:highlight w:val="gree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highlight w:val="green"/>
                </w:rPr>
              </m:ctrlPr>
            </m:naryPr>
            <m:sub>
              <m:r>
                <w:rPr>
                  <w:rFonts w:ascii="Cambria Math" w:hAnsi="Cambria Math"/>
                  <w:highlight w:val="green"/>
                </w:rPr>
                <m:t>-∞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green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highlight w:val="gree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τ-θ</m:t>
                      </m:r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>dτ</m:t>
                  </m:r>
                </m:e>
              </m:nary>
              <m:r>
                <w:rPr>
                  <w:rFonts w:ascii="Cambria Math" w:hAnsi="Cambria Math"/>
                  <w:highlight w:val="green"/>
                </w:rPr>
                <m:t xml:space="preserve">dθ </m:t>
              </m:r>
            </m:e>
          </m:nary>
          <m:r>
            <w:rPr>
              <w:rFonts w:ascii="Cambria Math" w:hAnsi="Cambria Math"/>
              <w:highlight w:val="gree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D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x</m:t>
              </m:r>
            </m:sub>
          </m:sSub>
          <m:r>
            <w:rPr>
              <w:rFonts w:ascii="Cambria Math" w:hAnsi="Cambria Math"/>
              <w:highlight w:val="green"/>
            </w:rPr>
            <m:t>+</m:t>
          </m:r>
        </m:oMath>
      </m:oMathPara>
    </w:p>
    <w:p w:rsidR="001D58E8" w:rsidRPr="00677896" w:rsidRDefault="001D58E8" w:rsidP="001D58E8">
      <w:pPr>
        <w:spacing w:after="120"/>
        <w:jc w:val="both"/>
        <w:rPr>
          <w:highlight w:val="gree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green"/>
            </w:rPr>
            <m:t>+2</m:t>
          </m:r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highlight w:val="green"/>
                    </w:rPr>
                    <m:t>T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highlight w:val="green"/>
                </w:rPr>
              </m:ctrlPr>
            </m:naryPr>
            <m:sub>
              <m:r>
                <w:rPr>
                  <w:rFonts w:ascii="Cambria Math" w:hAnsi="Cambria Math"/>
                  <w:highlight w:val="green"/>
                </w:rPr>
                <m:t>-∞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green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highlight w:val="gree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T+τ-θ</m:t>
                      </m:r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>dτ</m:t>
                  </m:r>
                </m:e>
              </m:nary>
              <m:r>
                <w:rPr>
                  <w:rFonts w:ascii="Cambria Math" w:hAnsi="Cambria Math"/>
                  <w:highlight w:val="green"/>
                </w:rPr>
                <m:t xml:space="preserve">dθ </m:t>
              </m:r>
            </m:e>
          </m:nary>
          <m:r>
            <w:rPr>
              <w:rFonts w:ascii="Cambria Math" w:hAnsi="Cambria Math"/>
              <w:highlight w:val="green"/>
            </w:rPr>
            <m:t>-</m:t>
          </m:r>
        </m:oMath>
      </m:oMathPara>
    </w:p>
    <w:p w:rsidR="001D58E8" w:rsidRPr="000A54F0" w:rsidRDefault="001D58E8" w:rsidP="001D58E8">
      <w:pPr>
        <w:spacing w:after="120"/>
        <w:jc w:val="both"/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green"/>
            </w:rPr>
            <m:t>-2</m:t>
          </m:r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highlight w:val="green"/>
                    </w:rPr>
                    <m:t>T</m:t>
                  </m:r>
                </m:den>
              </m:f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highlight w:val="green"/>
                </w:rPr>
              </m:ctrlPr>
            </m:naryPr>
            <m:sub>
              <m:r>
                <w:rPr>
                  <w:rFonts w:ascii="Cambria Math" w:hAnsi="Cambria Math"/>
                  <w:highlight w:val="green"/>
                </w:rPr>
                <m:t>-∞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∞</m:t>
              </m:r>
            </m:sup>
            <m:e>
              <m:r>
                <w:rPr>
                  <w:rFonts w:ascii="Cambria Math" w:hAnsi="Cambria Math"/>
                  <w:highlight w:val="green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τ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τ+t</m:t>
                  </m:r>
                </m:e>
              </m:d>
            </m:e>
          </m:nary>
          <m:r>
            <w:rPr>
              <w:rFonts w:ascii="Cambria Math" w:hAnsi="Cambria Math"/>
              <w:highlight w:val="green"/>
            </w:rPr>
            <m:t>dτ-2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T</m:t>
              </m:r>
            </m:den>
          </m:f>
          <m:r>
            <w:rPr>
              <w:rFonts w:ascii="Cambria Math" w:hAnsi="Cambria Math"/>
              <w:highlight w:val="green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highlight w:val="green"/>
                </w:rPr>
              </m:ctrlPr>
            </m:naryPr>
            <m:sub>
              <m:r>
                <w:rPr>
                  <w:rFonts w:ascii="Cambria Math" w:hAnsi="Cambria Math"/>
                  <w:highlight w:val="green"/>
                </w:rPr>
                <m:t>-∞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∞</m:t>
              </m:r>
            </m:sup>
            <m:e>
              <m:r>
                <w:rPr>
                  <w:rFonts w:ascii="Cambria Math" w:hAnsi="Cambria Math"/>
                  <w:highlight w:val="green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τ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T-τ-t</m:t>
                  </m:r>
                </m:e>
              </m:d>
            </m:e>
          </m:nary>
          <m:r>
            <w:rPr>
              <w:rFonts w:ascii="Cambria Math" w:hAnsi="Cambria Math"/>
              <w:highlight w:val="green"/>
            </w:rPr>
            <m:t>dτ</m:t>
          </m:r>
          <m:r>
            <w:rPr>
              <w:rFonts w:ascii="Cambria Math" w:hAnsi="Cambria Math"/>
            </w:rPr>
            <m:t xml:space="preserve">                                                  (7)</m:t>
          </m:r>
        </m:oMath>
      </m:oMathPara>
    </w:p>
    <w:p w:rsidR="001D58E8" w:rsidRDefault="001D58E8" w:rsidP="0066288F">
      <w:pPr>
        <w:spacing w:after="120"/>
        <w:jc w:val="both"/>
      </w:pPr>
    </w:p>
    <w:p w:rsidR="001D58E8" w:rsidRDefault="001D58E8" w:rsidP="0066288F">
      <w:pPr>
        <w:spacing w:after="120"/>
        <w:jc w:val="both"/>
      </w:pPr>
    </w:p>
    <w:p w:rsidR="001D58E8" w:rsidRDefault="001D58E8" w:rsidP="0066288F">
      <w:pPr>
        <w:spacing w:after="120"/>
        <w:jc w:val="both"/>
      </w:pPr>
    </w:p>
    <w:p w:rsidR="001D58E8" w:rsidRDefault="001D58E8" w:rsidP="0066288F">
      <w:pPr>
        <w:spacing w:after="120"/>
        <w:jc w:val="both"/>
      </w:pPr>
    </w:p>
    <w:p w:rsidR="001D58E8" w:rsidRDefault="001D58E8" w:rsidP="0066288F">
      <w:pPr>
        <w:spacing w:after="120"/>
        <w:jc w:val="both"/>
      </w:pPr>
    </w:p>
    <w:p w:rsidR="001D58E8" w:rsidRDefault="001D58E8" w:rsidP="0066288F">
      <w:pPr>
        <w:spacing w:after="120"/>
        <w:jc w:val="both"/>
      </w:pPr>
    </w:p>
    <w:p w:rsidR="001D58E8" w:rsidRPr="00831DF8" w:rsidRDefault="001D58E8" w:rsidP="0066288F">
      <w:pPr>
        <w:spacing w:after="120"/>
        <w:jc w:val="both"/>
      </w:pPr>
    </w:p>
    <w:p w:rsidR="00831DF8" w:rsidRPr="00831DF8" w:rsidRDefault="000C2C23" w:rsidP="00831DF8">
      <w:pPr>
        <w:spacing w:after="120"/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831DF8" w:rsidRPr="00831DF8" w:rsidRDefault="00831DF8" w:rsidP="00831DF8">
      <w:pPr>
        <w:spacing w:after="1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τ+t</m:t>
                  </m:r>
                </m:e>
              </m:d>
            </m:e>
          </m:nary>
          <m:r>
            <w:rPr>
              <w:rFonts w:ascii="Cambria Math" w:hAnsi="Cambria Math"/>
            </w:rPr>
            <m:t>dτ+2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T-τ-t</m:t>
                  </m:r>
                </m:e>
              </m:d>
            </m:e>
          </m:nary>
          <m:r>
            <w:rPr>
              <w:rFonts w:ascii="Cambria Math" w:hAnsi="Cambria Math"/>
            </w:rPr>
            <m:t>dτ-</m:t>
          </m:r>
        </m:oMath>
      </m:oMathPara>
    </w:p>
    <w:p w:rsidR="00831DF8" w:rsidRPr="00023A59" w:rsidRDefault="00023A59" w:rsidP="00831DF8">
      <w:pPr>
        <w:spacing w:after="1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τ-θ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  <m:r>
                <w:rPr>
                  <w:rFonts w:ascii="Cambria Math" w:hAnsi="Cambria Math"/>
                </w:rPr>
                <m:t xml:space="preserve">dθ- </m:t>
              </m:r>
            </m:e>
          </m:nary>
        </m:oMath>
      </m:oMathPara>
    </w:p>
    <w:p w:rsidR="00831DF8" w:rsidRPr="00023A59" w:rsidRDefault="00023A59" w:rsidP="00831DF8">
      <w:pPr>
        <w:spacing w:after="1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T+τ-θ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dθ </m:t>
                  </m:r>
                </m:e>
              </m:nary>
            </m:e>
          </m:d>
          <m:r>
            <w:rPr>
              <w:rFonts w:ascii="Cambria Math" w:hAnsi="Cambria Math"/>
            </w:rPr>
            <m:t>=...</m:t>
          </m:r>
        </m:oMath>
      </m:oMathPara>
    </w:p>
    <w:p w:rsidR="00831DF8" w:rsidRDefault="00023A59" w:rsidP="0066288F">
      <w:pPr>
        <w:spacing w:after="120"/>
        <w:jc w:val="both"/>
      </w:pPr>
      <w:r>
        <w:t>Первое слагаемое (в квадратных скобках):</w:t>
      </w:r>
    </w:p>
    <w:p w:rsidR="00023A59" w:rsidRPr="00023A59" w:rsidRDefault="000C2C23" w:rsidP="0066288F">
      <w:pPr>
        <w:spacing w:after="12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</w:rPr>
            <m:t>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023A59" w:rsidRPr="00453C31" w:rsidRDefault="00023A59" w:rsidP="0066288F">
      <w:pPr>
        <w:spacing w:after="120"/>
        <w:jc w:val="both"/>
      </w:pPr>
      <m:oMathPara>
        <m:oMath>
          <m:r>
            <w:rPr>
              <w:rFonts w:ascii="Cambria Math" w:hAnsi="Cambria Math"/>
            </w:rPr>
            <m:t>=1-2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453C31" w:rsidRDefault="00453C31" w:rsidP="0066288F">
      <w:pPr>
        <w:spacing w:after="120"/>
        <w:jc w:val="both"/>
      </w:pPr>
      <w:r>
        <w:t>Слагаемое перед первым двойным интегралом:</w:t>
      </w:r>
    </w:p>
    <w:p w:rsidR="00453C31" w:rsidRPr="000D18E3" w:rsidRDefault="000C2C23" w:rsidP="0066288F">
      <w:pPr>
        <w:spacing w:after="12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0D18E3" w:rsidRDefault="000D18E3" w:rsidP="0066288F">
      <w:pPr>
        <w:spacing w:after="120"/>
        <w:jc w:val="both"/>
      </w:pPr>
      <w:r>
        <w:t>То есть</w:t>
      </w:r>
    </w:p>
    <w:p w:rsidR="000D18E3" w:rsidRPr="00E22206" w:rsidRDefault="000C2C23" w:rsidP="000D18E3">
      <w:pPr>
        <w:spacing w:after="120"/>
        <w:jc w:val="both"/>
        <w:rPr>
          <w:highlight w:val="gree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r>
                <w:rPr>
                  <w:rFonts w:ascii="Cambria Math" w:hAnsi="Cambria Math"/>
                  <w:highlight w:val="green"/>
                </w:rPr>
                <m:t>D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ε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x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highlight w:val="gree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2D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x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green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green"/>
                        </w:rPr>
                        <m:t>T</m:t>
                      </m:r>
                    </m:den>
                  </m:f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green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highlight w:val="gree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τ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τ+t</m:t>
                      </m:r>
                    </m:e>
                  </m:d>
                </m:e>
              </m:nary>
              <m:r>
                <w:rPr>
                  <w:rFonts w:ascii="Cambria Math" w:hAnsi="Cambria Math"/>
                  <w:highlight w:val="green"/>
                </w:rPr>
                <m:t>dτ+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highlight w:val="green"/>
                    </w:rPr>
                    <m:t>T</m:t>
                  </m:r>
                </m:den>
              </m:f>
              <m:r>
                <w:rPr>
                  <w:rFonts w:ascii="Cambria Math" w:hAnsi="Cambria Math"/>
                  <w:highlight w:val="green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green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highlight w:val="gree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τ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T-τ-t</m:t>
                      </m:r>
                    </m:e>
                  </m:d>
                </m:e>
              </m:nary>
              <m:r>
                <w:rPr>
                  <w:rFonts w:ascii="Cambria Math" w:hAnsi="Cambria Math"/>
                  <w:highlight w:val="green"/>
                </w:rPr>
                <m:t>dτ</m:t>
              </m:r>
            </m:e>
          </m:d>
          <m:r>
            <w:rPr>
              <w:rFonts w:ascii="Cambria Math" w:hAnsi="Cambria Math"/>
              <w:highlight w:val="green"/>
            </w:rPr>
            <m:t>+</m:t>
          </m:r>
        </m:oMath>
      </m:oMathPara>
    </w:p>
    <w:p w:rsidR="000D18E3" w:rsidRPr="00E22206" w:rsidRDefault="00E22206" w:rsidP="00E22206">
      <w:pPr>
        <w:spacing w:after="120"/>
        <w:jc w:val="both"/>
        <w:rPr>
          <w:highlight w:val="gree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green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highlight w:val="green"/>
                    </w:rPr>
                    <m:t>T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highlight w:val="green"/>
                </w:rPr>
              </m:ctrlPr>
            </m:naryPr>
            <m:sub>
              <m:r>
                <w:rPr>
                  <w:rFonts w:ascii="Cambria Math" w:hAnsi="Cambria Math"/>
                  <w:highlight w:val="green"/>
                </w:rPr>
                <m:t>-∞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green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highlight w:val="gree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gre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gree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green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green"/>
                                </w:rPr>
                                <m:t>τ-θ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-R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T+τ-θ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>dτ</m:t>
                  </m:r>
                </m:e>
              </m:nary>
              <m:r>
                <w:rPr>
                  <w:rFonts w:ascii="Cambria Math" w:hAnsi="Cambria Math"/>
                  <w:highlight w:val="green"/>
                </w:rPr>
                <m:t>dθ-</m:t>
              </m:r>
            </m:e>
          </m:nary>
        </m:oMath>
      </m:oMathPara>
    </w:p>
    <w:p w:rsidR="00E22206" w:rsidRPr="00E22206" w:rsidRDefault="000C2C23" w:rsidP="00E22206">
      <w:pPr>
        <w:spacing w:after="120"/>
        <w:jc w:val="both"/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-0,5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green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  <w:highlight w:val="green"/>
                        </w:rPr>
                        <m:t xml:space="preserve"> 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highlight w:val="gree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τ-θ</m:t>
                          </m:r>
                        </m:e>
                      </m:d>
                      <m:r>
                        <w:rPr>
                          <w:rFonts w:ascii="Cambria Math" w:hAnsi="Cambria Math"/>
                          <w:highlight w:val="green"/>
                        </w:rPr>
                        <m:t>dτ</m:t>
                      </m:r>
                    </m:e>
                  </m:nary>
                  <m:r>
                    <w:rPr>
                      <w:rFonts w:ascii="Cambria Math" w:hAnsi="Cambria Math"/>
                      <w:highlight w:val="green"/>
                    </w:rPr>
                    <m:t xml:space="preserve">dθ </m:t>
                  </m:r>
                </m:e>
              </m:nary>
            </m:e>
          </m:d>
          <m:r>
            <w:rPr>
              <w:rFonts w:ascii="Cambria Math" w:hAnsi="Cambria Math"/>
            </w:rPr>
            <m:t xml:space="preserve"> .     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</m:oMath>
      </m:oMathPara>
    </w:p>
    <w:p w:rsidR="00E22206" w:rsidRDefault="00841493" w:rsidP="00E22206">
      <w:pPr>
        <w:spacing w:after="120"/>
        <w:jc w:val="both"/>
      </w:pPr>
      <w:r w:rsidRPr="001D58E8">
        <w:rPr>
          <w:u w:val="single"/>
        </w:rPr>
        <w:t>Э</w:t>
      </w:r>
      <w:r w:rsidR="00E22206" w:rsidRPr="001D58E8">
        <w:rPr>
          <w:u w:val="single"/>
        </w:rPr>
        <w:t>та формула будет устойчивее при численном интегрировании</w:t>
      </w:r>
      <w:r w:rsidR="00E22206">
        <w:t>.</w:t>
      </w:r>
    </w:p>
    <w:p w:rsidR="00E22206" w:rsidRDefault="00707DBA" w:rsidP="00E22206">
      <w:pPr>
        <w:spacing w:after="120"/>
        <w:jc w:val="both"/>
      </w:pPr>
      <w:r>
        <w:t>Далее, в частном случае - п</w:t>
      </w:r>
      <w:r w:rsidR="00E22206">
        <w:t>ри отсутствии динамических искажений (аналог формулы (8</w:t>
      </w:r>
      <w:proofErr w:type="gramStart"/>
      <w:r w:rsidR="00E22206">
        <w:t>) )</w:t>
      </w:r>
      <w:proofErr w:type="gramEnd"/>
      <w:r w:rsidR="00E22206">
        <w:t>:</w:t>
      </w:r>
    </w:p>
    <w:p w:rsidR="00707DBA" w:rsidRPr="00707DBA" w:rsidRDefault="000C2C23" w:rsidP="00707DBA">
      <w:pPr>
        <w:spacing w:after="120"/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</m:oMath>
      </m:oMathPara>
    </w:p>
    <w:p w:rsidR="00707DBA" w:rsidRDefault="00707DBA" w:rsidP="00707DBA">
      <w:pPr>
        <w:spacing w:after="120"/>
        <w:jc w:val="both"/>
      </w:pPr>
      <w:r>
        <w:t xml:space="preserve">При </w:t>
      </w:r>
      <w:bookmarkStart w:id="0" w:name="_GoBack"/>
      <w:bookmarkEnd w:id="0"/>
    </w:p>
    <w:p w:rsidR="00707DBA" w:rsidRDefault="000C2C23" w:rsidP="00707DBA">
      <w:pPr>
        <w:spacing w:after="1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=αθ</m:t>
          </m:r>
        </m:oMath>
      </m:oMathPara>
    </w:p>
    <w:p w:rsidR="00707DBA" w:rsidRDefault="00707DBA" w:rsidP="00707DBA">
      <w:pPr>
        <w:spacing w:after="120"/>
        <w:jc w:val="both"/>
      </w:pPr>
      <w:r>
        <w:t>получаем</w:t>
      </w:r>
    </w:p>
    <w:p w:rsidR="00707DBA" w:rsidRPr="00707DBA" w:rsidRDefault="000C2C23" w:rsidP="00707DBA">
      <w:pPr>
        <w:spacing w:after="120"/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αT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 </m:t>
              </m:r>
            </m:e>
          </m:d>
          <m:r>
            <w:rPr>
              <w:rFonts w:ascii="Cambria Math" w:hAnsi="Cambria Math"/>
              <w:highlight w:val="gree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2D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x</m:t>
              </m:r>
            </m:sub>
          </m:sSub>
          <m:r>
            <w:rPr>
              <w:rFonts w:ascii="Cambria Math" w:hAnsi="Cambria Math"/>
              <w:highlight w:val="green"/>
            </w:rPr>
            <m:t>αT</m:t>
          </m:r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highlight w:val="green"/>
                    </w:rPr>
                    <m:t>T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T</m:t>
              </m:r>
            </m:den>
          </m:f>
        </m:oMath>
      </m:oMathPara>
    </w:p>
    <w:p w:rsidR="00707DBA" w:rsidRPr="00707DBA" w:rsidRDefault="00707DBA" w:rsidP="00707DBA">
      <w:pPr>
        <w:spacing w:after="120"/>
        <w:jc w:val="both"/>
      </w:pPr>
      <w:r>
        <w:t>- совпало с предыдущим</w:t>
      </w:r>
      <w:r w:rsidR="00841493">
        <w:t>!</w:t>
      </w:r>
    </w:p>
    <w:sectPr w:rsidR="00707DBA" w:rsidRPr="00707DBA" w:rsidSect="00186150">
      <w:pgSz w:w="11906" w:h="16838"/>
      <w:pgMar w:top="851" w:right="707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D5FA5"/>
    <w:multiLevelType w:val="hybridMultilevel"/>
    <w:tmpl w:val="0130DD22"/>
    <w:lvl w:ilvl="0" w:tplc="E5BE27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3784F"/>
    <w:multiLevelType w:val="hybridMultilevel"/>
    <w:tmpl w:val="DA161C08"/>
    <w:lvl w:ilvl="0" w:tplc="07C0C22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478E8"/>
    <w:multiLevelType w:val="hybridMultilevel"/>
    <w:tmpl w:val="1CD0A136"/>
    <w:lvl w:ilvl="0" w:tplc="8FD0AB6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AC6AF7"/>
    <w:multiLevelType w:val="hybridMultilevel"/>
    <w:tmpl w:val="26608B32"/>
    <w:lvl w:ilvl="0" w:tplc="2BACAD5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056D5"/>
    <w:multiLevelType w:val="hybridMultilevel"/>
    <w:tmpl w:val="CAEA03B4"/>
    <w:lvl w:ilvl="0" w:tplc="4F48D3B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FC3CEA"/>
    <w:multiLevelType w:val="hybridMultilevel"/>
    <w:tmpl w:val="99087812"/>
    <w:lvl w:ilvl="0" w:tplc="689ED2C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43700B"/>
    <w:multiLevelType w:val="hybridMultilevel"/>
    <w:tmpl w:val="EBBC4200"/>
    <w:lvl w:ilvl="0" w:tplc="9326B6D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50"/>
    <w:rsid w:val="00006AE3"/>
    <w:rsid w:val="0000757E"/>
    <w:rsid w:val="00007F91"/>
    <w:rsid w:val="00012BC3"/>
    <w:rsid w:val="00016CC8"/>
    <w:rsid w:val="00020530"/>
    <w:rsid w:val="0002091A"/>
    <w:rsid w:val="00021E89"/>
    <w:rsid w:val="000227CE"/>
    <w:rsid w:val="00023A59"/>
    <w:rsid w:val="00027EE6"/>
    <w:rsid w:val="00032B66"/>
    <w:rsid w:val="000334B0"/>
    <w:rsid w:val="00034BC1"/>
    <w:rsid w:val="00037B16"/>
    <w:rsid w:val="00042078"/>
    <w:rsid w:val="000424BF"/>
    <w:rsid w:val="00042D5C"/>
    <w:rsid w:val="00055EE4"/>
    <w:rsid w:val="00057A49"/>
    <w:rsid w:val="00060437"/>
    <w:rsid w:val="000616B5"/>
    <w:rsid w:val="000720FF"/>
    <w:rsid w:val="0008426E"/>
    <w:rsid w:val="00090EA2"/>
    <w:rsid w:val="00092520"/>
    <w:rsid w:val="00092C1D"/>
    <w:rsid w:val="00094796"/>
    <w:rsid w:val="00096E1B"/>
    <w:rsid w:val="000A54F0"/>
    <w:rsid w:val="000A7EF9"/>
    <w:rsid w:val="000B35BB"/>
    <w:rsid w:val="000B4AEA"/>
    <w:rsid w:val="000B4EEE"/>
    <w:rsid w:val="000C2C23"/>
    <w:rsid w:val="000D0147"/>
    <w:rsid w:val="000D0E85"/>
    <w:rsid w:val="000D18E3"/>
    <w:rsid w:val="000D4440"/>
    <w:rsid w:val="000E0B60"/>
    <w:rsid w:val="000E14CB"/>
    <w:rsid w:val="000F10EE"/>
    <w:rsid w:val="000F7CC8"/>
    <w:rsid w:val="0010016D"/>
    <w:rsid w:val="00101F43"/>
    <w:rsid w:val="00113CEA"/>
    <w:rsid w:val="00114167"/>
    <w:rsid w:val="00115B04"/>
    <w:rsid w:val="00122E35"/>
    <w:rsid w:val="00124576"/>
    <w:rsid w:val="0014394D"/>
    <w:rsid w:val="0015237B"/>
    <w:rsid w:val="00153FB4"/>
    <w:rsid w:val="00155BE0"/>
    <w:rsid w:val="00160A53"/>
    <w:rsid w:val="00163863"/>
    <w:rsid w:val="001643FB"/>
    <w:rsid w:val="00167391"/>
    <w:rsid w:val="00167954"/>
    <w:rsid w:val="00186150"/>
    <w:rsid w:val="00190A84"/>
    <w:rsid w:val="001A1F7A"/>
    <w:rsid w:val="001A2B6D"/>
    <w:rsid w:val="001B1CB2"/>
    <w:rsid w:val="001B2286"/>
    <w:rsid w:val="001B2A3F"/>
    <w:rsid w:val="001B4085"/>
    <w:rsid w:val="001B67D6"/>
    <w:rsid w:val="001C02DD"/>
    <w:rsid w:val="001C0D9E"/>
    <w:rsid w:val="001C1FF1"/>
    <w:rsid w:val="001C20BF"/>
    <w:rsid w:val="001C2844"/>
    <w:rsid w:val="001D58E8"/>
    <w:rsid w:val="001D6FD4"/>
    <w:rsid w:val="001F2F4E"/>
    <w:rsid w:val="0021249B"/>
    <w:rsid w:val="002162BA"/>
    <w:rsid w:val="0022102B"/>
    <w:rsid w:val="0022204A"/>
    <w:rsid w:val="0022359F"/>
    <w:rsid w:val="002270CC"/>
    <w:rsid w:val="00243DDB"/>
    <w:rsid w:val="00265168"/>
    <w:rsid w:val="00271E5D"/>
    <w:rsid w:val="00271F8A"/>
    <w:rsid w:val="0027253B"/>
    <w:rsid w:val="0028055E"/>
    <w:rsid w:val="00284BD3"/>
    <w:rsid w:val="00290B9E"/>
    <w:rsid w:val="00293D3D"/>
    <w:rsid w:val="00297ED9"/>
    <w:rsid w:val="002B6324"/>
    <w:rsid w:val="002C51B2"/>
    <w:rsid w:val="002D54B2"/>
    <w:rsid w:val="002D552F"/>
    <w:rsid w:val="002E072B"/>
    <w:rsid w:val="002E55EA"/>
    <w:rsid w:val="002E7F88"/>
    <w:rsid w:val="002F06B9"/>
    <w:rsid w:val="002F4F43"/>
    <w:rsid w:val="0031202D"/>
    <w:rsid w:val="003208C4"/>
    <w:rsid w:val="00327805"/>
    <w:rsid w:val="00327A6B"/>
    <w:rsid w:val="00330BF2"/>
    <w:rsid w:val="00331E62"/>
    <w:rsid w:val="00334336"/>
    <w:rsid w:val="0033628E"/>
    <w:rsid w:val="00346189"/>
    <w:rsid w:val="003466F2"/>
    <w:rsid w:val="003477D2"/>
    <w:rsid w:val="0035772E"/>
    <w:rsid w:val="003625C6"/>
    <w:rsid w:val="00362F81"/>
    <w:rsid w:val="003636B8"/>
    <w:rsid w:val="00370B19"/>
    <w:rsid w:val="00376E9A"/>
    <w:rsid w:val="00376F3D"/>
    <w:rsid w:val="00393635"/>
    <w:rsid w:val="0039393B"/>
    <w:rsid w:val="00394ED5"/>
    <w:rsid w:val="0039697F"/>
    <w:rsid w:val="003A17D6"/>
    <w:rsid w:val="003A4978"/>
    <w:rsid w:val="003B4DF1"/>
    <w:rsid w:val="003B55E3"/>
    <w:rsid w:val="003B5A7C"/>
    <w:rsid w:val="003B78F4"/>
    <w:rsid w:val="003D1EF8"/>
    <w:rsid w:val="003E2D5A"/>
    <w:rsid w:val="003F129C"/>
    <w:rsid w:val="0041008C"/>
    <w:rsid w:val="00412DBC"/>
    <w:rsid w:val="00416B85"/>
    <w:rsid w:val="00417C02"/>
    <w:rsid w:val="00420A4A"/>
    <w:rsid w:val="0042105D"/>
    <w:rsid w:val="00422D15"/>
    <w:rsid w:val="00427764"/>
    <w:rsid w:val="004366BE"/>
    <w:rsid w:val="00446F7D"/>
    <w:rsid w:val="0045066F"/>
    <w:rsid w:val="00451BC2"/>
    <w:rsid w:val="004532F6"/>
    <w:rsid w:val="00453C31"/>
    <w:rsid w:val="00461223"/>
    <w:rsid w:val="00467DDD"/>
    <w:rsid w:val="004739F3"/>
    <w:rsid w:val="00487DF6"/>
    <w:rsid w:val="004902E2"/>
    <w:rsid w:val="004938AE"/>
    <w:rsid w:val="004971B9"/>
    <w:rsid w:val="004A3BC7"/>
    <w:rsid w:val="004B0F0B"/>
    <w:rsid w:val="004B3FBA"/>
    <w:rsid w:val="004B4215"/>
    <w:rsid w:val="004B5886"/>
    <w:rsid w:val="004B7A1A"/>
    <w:rsid w:val="004C683E"/>
    <w:rsid w:val="004D0395"/>
    <w:rsid w:val="004D3954"/>
    <w:rsid w:val="004D5DDF"/>
    <w:rsid w:val="004D73D7"/>
    <w:rsid w:val="004E3C89"/>
    <w:rsid w:val="004F24A8"/>
    <w:rsid w:val="004F51A8"/>
    <w:rsid w:val="004F76EC"/>
    <w:rsid w:val="005001D1"/>
    <w:rsid w:val="00502008"/>
    <w:rsid w:val="00504F37"/>
    <w:rsid w:val="00505450"/>
    <w:rsid w:val="0051135B"/>
    <w:rsid w:val="00512BB3"/>
    <w:rsid w:val="0051376D"/>
    <w:rsid w:val="0051550C"/>
    <w:rsid w:val="005162B1"/>
    <w:rsid w:val="005260E5"/>
    <w:rsid w:val="00536251"/>
    <w:rsid w:val="005542BE"/>
    <w:rsid w:val="00555F87"/>
    <w:rsid w:val="00556154"/>
    <w:rsid w:val="00572124"/>
    <w:rsid w:val="00581658"/>
    <w:rsid w:val="0059196C"/>
    <w:rsid w:val="005A42F8"/>
    <w:rsid w:val="005A53CD"/>
    <w:rsid w:val="005D1BB6"/>
    <w:rsid w:val="005E0529"/>
    <w:rsid w:val="005E0586"/>
    <w:rsid w:val="005E06D0"/>
    <w:rsid w:val="005F7707"/>
    <w:rsid w:val="005F792B"/>
    <w:rsid w:val="0061264A"/>
    <w:rsid w:val="00612AE3"/>
    <w:rsid w:val="00613C6E"/>
    <w:rsid w:val="00614E7C"/>
    <w:rsid w:val="0061788B"/>
    <w:rsid w:val="006218C5"/>
    <w:rsid w:val="00630AF5"/>
    <w:rsid w:val="00634267"/>
    <w:rsid w:val="006400F8"/>
    <w:rsid w:val="00642123"/>
    <w:rsid w:val="006457AA"/>
    <w:rsid w:val="0064701D"/>
    <w:rsid w:val="00647DAB"/>
    <w:rsid w:val="00650F30"/>
    <w:rsid w:val="0065327F"/>
    <w:rsid w:val="00656170"/>
    <w:rsid w:val="00660CCD"/>
    <w:rsid w:val="006617FE"/>
    <w:rsid w:val="0066288F"/>
    <w:rsid w:val="0066737D"/>
    <w:rsid w:val="00670A37"/>
    <w:rsid w:val="00675835"/>
    <w:rsid w:val="00677896"/>
    <w:rsid w:val="00682E34"/>
    <w:rsid w:val="00693D6C"/>
    <w:rsid w:val="00696117"/>
    <w:rsid w:val="00697092"/>
    <w:rsid w:val="006A5B97"/>
    <w:rsid w:val="006B2760"/>
    <w:rsid w:val="006B583F"/>
    <w:rsid w:val="006B6239"/>
    <w:rsid w:val="006B7F3D"/>
    <w:rsid w:val="006C0E10"/>
    <w:rsid w:val="006C3572"/>
    <w:rsid w:val="006C4BD2"/>
    <w:rsid w:val="006C54E1"/>
    <w:rsid w:val="006D49AB"/>
    <w:rsid w:val="006E1360"/>
    <w:rsid w:val="006E7968"/>
    <w:rsid w:val="006F39C4"/>
    <w:rsid w:val="00706DE1"/>
    <w:rsid w:val="00707DBA"/>
    <w:rsid w:val="00711CCE"/>
    <w:rsid w:val="00714E9E"/>
    <w:rsid w:val="0071538D"/>
    <w:rsid w:val="00715B43"/>
    <w:rsid w:val="00715F2A"/>
    <w:rsid w:val="0072130C"/>
    <w:rsid w:val="0074021F"/>
    <w:rsid w:val="007427E0"/>
    <w:rsid w:val="0074480E"/>
    <w:rsid w:val="00751636"/>
    <w:rsid w:val="00752E10"/>
    <w:rsid w:val="00752EEA"/>
    <w:rsid w:val="0076106F"/>
    <w:rsid w:val="0076126B"/>
    <w:rsid w:val="00765D50"/>
    <w:rsid w:val="0077565F"/>
    <w:rsid w:val="00780FBB"/>
    <w:rsid w:val="0079210A"/>
    <w:rsid w:val="007939B8"/>
    <w:rsid w:val="007A4F69"/>
    <w:rsid w:val="007A6BCC"/>
    <w:rsid w:val="007A725E"/>
    <w:rsid w:val="007A78B8"/>
    <w:rsid w:val="007B0FDB"/>
    <w:rsid w:val="007B1183"/>
    <w:rsid w:val="007B41C9"/>
    <w:rsid w:val="007B54D5"/>
    <w:rsid w:val="007C34E1"/>
    <w:rsid w:val="007C3656"/>
    <w:rsid w:val="007D5557"/>
    <w:rsid w:val="007D6558"/>
    <w:rsid w:val="007D6863"/>
    <w:rsid w:val="007E2F57"/>
    <w:rsid w:val="007E7E2D"/>
    <w:rsid w:val="007F1F62"/>
    <w:rsid w:val="007F5336"/>
    <w:rsid w:val="008013B0"/>
    <w:rsid w:val="008016B4"/>
    <w:rsid w:val="00802BF7"/>
    <w:rsid w:val="0080739E"/>
    <w:rsid w:val="00812C6C"/>
    <w:rsid w:val="00814D08"/>
    <w:rsid w:val="0081636B"/>
    <w:rsid w:val="00824250"/>
    <w:rsid w:val="00824EF7"/>
    <w:rsid w:val="008309F9"/>
    <w:rsid w:val="00830F9A"/>
    <w:rsid w:val="00831DF8"/>
    <w:rsid w:val="00834C14"/>
    <w:rsid w:val="00834FB8"/>
    <w:rsid w:val="0083553D"/>
    <w:rsid w:val="00840B09"/>
    <w:rsid w:val="00841493"/>
    <w:rsid w:val="00845904"/>
    <w:rsid w:val="00852ABF"/>
    <w:rsid w:val="008531E1"/>
    <w:rsid w:val="00853420"/>
    <w:rsid w:val="0085372A"/>
    <w:rsid w:val="00864708"/>
    <w:rsid w:val="00880559"/>
    <w:rsid w:val="0088429A"/>
    <w:rsid w:val="0089583C"/>
    <w:rsid w:val="008A101B"/>
    <w:rsid w:val="008A5040"/>
    <w:rsid w:val="008A5A80"/>
    <w:rsid w:val="008B60D5"/>
    <w:rsid w:val="008B6442"/>
    <w:rsid w:val="008C5FEF"/>
    <w:rsid w:val="008C7E75"/>
    <w:rsid w:val="008E4566"/>
    <w:rsid w:val="008E4B00"/>
    <w:rsid w:val="008F264D"/>
    <w:rsid w:val="008F2726"/>
    <w:rsid w:val="008F2E4E"/>
    <w:rsid w:val="008F3C2F"/>
    <w:rsid w:val="008F4E4B"/>
    <w:rsid w:val="0091334C"/>
    <w:rsid w:val="00926D17"/>
    <w:rsid w:val="00931A4A"/>
    <w:rsid w:val="0093277F"/>
    <w:rsid w:val="00953B1A"/>
    <w:rsid w:val="00973586"/>
    <w:rsid w:val="00974100"/>
    <w:rsid w:val="009854A1"/>
    <w:rsid w:val="00994B03"/>
    <w:rsid w:val="009952BA"/>
    <w:rsid w:val="00997545"/>
    <w:rsid w:val="009B636E"/>
    <w:rsid w:val="009B7F39"/>
    <w:rsid w:val="009C0F2D"/>
    <w:rsid w:val="009C6982"/>
    <w:rsid w:val="009E2A8B"/>
    <w:rsid w:val="009E366C"/>
    <w:rsid w:val="009E652B"/>
    <w:rsid w:val="009F0F03"/>
    <w:rsid w:val="009F4060"/>
    <w:rsid w:val="00A01202"/>
    <w:rsid w:val="00A023FF"/>
    <w:rsid w:val="00A10739"/>
    <w:rsid w:val="00A31F4D"/>
    <w:rsid w:val="00A463E2"/>
    <w:rsid w:val="00A54682"/>
    <w:rsid w:val="00A66999"/>
    <w:rsid w:val="00A71C1F"/>
    <w:rsid w:val="00A72486"/>
    <w:rsid w:val="00A772A1"/>
    <w:rsid w:val="00A83866"/>
    <w:rsid w:val="00A930FD"/>
    <w:rsid w:val="00A966DB"/>
    <w:rsid w:val="00AA12E9"/>
    <w:rsid w:val="00AB1B47"/>
    <w:rsid w:val="00AB48BB"/>
    <w:rsid w:val="00AC0CC6"/>
    <w:rsid w:val="00AC6BF0"/>
    <w:rsid w:val="00AD3C5E"/>
    <w:rsid w:val="00AD7AE6"/>
    <w:rsid w:val="00AE35C3"/>
    <w:rsid w:val="00AE5F10"/>
    <w:rsid w:val="00B0356D"/>
    <w:rsid w:val="00B03C7A"/>
    <w:rsid w:val="00B042AE"/>
    <w:rsid w:val="00B0674B"/>
    <w:rsid w:val="00B1361A"/>
    <w:rsid w:val="00B24698"/>
    <w:rsid w:val="00B2577F"/>
    <w:rsid w:val="00B302B2"/>
    <w:rsid w:val="00B30CD4"/>
    <w:rsid w:val="00B315C3"/>
    <w:rsid w:val="00B363A2"/>
    <w:rsid w:val="00B40BFF"/>
    <w:rsid w:val="00B4415B"/>
    <w:rsid w:val="00B515DD"/>
    <w:rsid w:val="00B52FC9"/>
    <w:rsid w:val="00B539F1"/>
    <w:rsid w:val="00B544FB"/>
    <w:rsid w:val="00B561F9"/>
    <w:rsid w:val="00B7323F"/>
    <w:rsid w:val="00B761FC"/>
    <w:rsid w:val="00B82FC9"/>
    <w:rsid w:val="00B8475E"/>
    <w:rsid w:val="00B849EA"/>
    <w:rsid w:val="00B97B7B"/>
    <w:rsid w:val="00BA39C2"/>
    <w:rsid w:val="00BB1AB8"/>
    <w:rsid w:val="00BB2DDC"/>
    <w:rsid w:val="00BD1B82"/>
    <w:rsid w:val="00BD7DA7"/>
    <w:rsid w:val="00BF0C67"/>
    <w:rsid w:val="00BF381A"/>
    <w:rsid w:val="00C046CD"/>
    <w:rsid w:val="00C203DF"/>
    <w:rsid w:val="00C247CC"/>
    <w:rsid w:val="00C272A1"/>
    <w:rsid w:val="00C27AF7"/>
    <w:rsid w:val="00C31B9E"/>
    <w:rsid w:val="00C31C89"/>
    <w:rsid w:val="00C331D9"/>
    <w:rsid w:val="00C36E91"/>
    <w:rsid w:val="00C422DB"/>
    <w:rsid w:val="00C42C1E"/>
    <w:rsid w:val="00C4306E"/>
    <w:rsid w:val="00C45322"/>
    <w:rsid w:val="00C4550F"/>
    <w:rsid w:val="00C50312"/>
    <w:rsid w:val="00C52209"/>
    <w:rsid w:val="00C62B8C"/>
    <w:rsid w:val="00C62ED1"/>
    <w:rsid w:val="00C63489"/>
    <w:rsid w:val="00C74A82"/>
    <w:rsid w:val="00C7619D"/>
    <w:rsid w:val="00C80DF1"/>
    <w:rsid w:val="00C81ED8"/>
    <w:rsid w:val="00CA1F36"/>
    <w:rsid w:val="00CA46B4"/>
    <w:rsid w:val="00CA62BD"/>
    <w:rsid w:val="00CB0639"/>
    <w:rsid w:val="00CB1795"/>
    <w:rsid w:val="00CB1A9C"/>
    <w:rsid w:val="00CC2A95"/>
    <w:rsid w:val="00CC43E3"/>
    <w:rsid w:val="00CD43A7"/>
    <w:rsid w:val="00CE291B"/>
    <w:rsid w:val="00CE3A7C"/>
    <w:rsid w:val="00CE594D"/>
    <w:rsid w:val="00CF2C99"/>
    <w:rsid w:val="00CF4B60"/>
    <w:rsid w:val="00D029D1"/>
    <w:rsid w:val="00D04102"/>
    <w:rsid w:val="00D11ED8"/>
    <w:rsid w:val="00D13A04"/>
    <w:rsid w:val="00D17BAE"/>
    <w:rsid w:val="00D32084"/>
    <w:rsid w:val="00D3532E"/>
    <w:rsid w:val="00D60457"/>
    <w:rsid w:val="00D61D97"/>
    <w:rsid w:val="00D62D2C"/>
    <w:rsid w:val="00D83AEF"/>
    <w:rsid w:val="00D9191D"/>
    <w:rsid w:val="00D96AE0"/>
    <w:rsid w:val="00D97784"/>
    <w:rsid w:val="00DA1F42"/>
    <w:rsid w:val="00DB08BA"/>
    <w:rsid w:val="00DB08EF"/>
    <w:rsid w:val="00DB6654"/>
    <w:rsid w:val="00DC238D"/>
    <w:rsid w:val="00DC341D"/>
    <w:rsid w:val="00DF36EE"/>
    <w:rsid w:val="00E012EA"/>
    <w:rsid w:val="00E03CBB"/>
    <w:rsid w:val="00E04CD8"/>
    <w:rsid w:val="00E152DC"/>
    <w:rsid w:val="00E20210"/>
    <w:rsid w:val="00E20D3C"/>
    <w:rsid w:val="00E214FE"/>
    <w:rsid w:val="00E22206"/>
    <w:rsid w:val="00E40933"/>
    <w:rsid w:val="00E40C80"/>
    <w:rsid w:val="00E64AF0"/>
    <w:rsid w:val="00E6545C"/>
    <w:rsid w:val="00E7129D"/>
    <w:rsid w:val="00E74E25"/>
    <w:rsid w:val="00E77C18"/>
    <w:rsid w:val="00E81930"/>
    <w:rsid w:val="00E85002"/>
    <w:rsid w:val="00E90181"/>
    <w:rsid w:val="00E91449"/>
    <w:rsid w:val="00E95CF0"/>
    <w:rsid w:val="00E96A50"/>
    <w:rsid w:val="00EB4C76"/>
    <w:rsid w:val="00EC1474"/>
    <w:rsid w:val="00EC7903"/>
    <w:rsid w:val="00ED436F"/>
    <w:rsid w:val="00ED4EDA"/>
    <w:rsid w:val="00EE21D1"/>
    <w:rsid w:val="00EE5C38"/>
    <w:rsid w:val="00EE7FAA"/>
    <w:rsid w:val="00EF4843"/>
    <w:rsid w:val="00EF5F1C"/>
    <w:rsid w:val="00F0347C"/>
    <w:rsid w:val="00F03774"/>
    <w:rsid w:val="00F1180C"/>
    <w:rsid w:val="00F124C2"/>
    <w:rsid w:val="00F136E2"/>
    <w:rsid w:val="00F200FC"/>
    <w:rsid w:val="00F31536"/>
    <w:rsid w:val="00F35488"/>
    <w:rsid w:val="00F364E7"/>
    <w:rsid w:val="00F4464A"/>
    <w:rsid w:val="00F50E1A"/>
    <w:rsid w:val="00F529BD"/>
    <w:rsid w:val="00F55BCB"/>
    <w:rsid w:val="00F67F1B"/>
    <w:rsid w:val="00F81554"/>
    <w:rsid w:val="00F83C91"/>
    <w:rsid w:val="00F86E87"/>
    <w:rsid w:val="00F94ADE"/>
    <w:rsid w:val="00F97DCB"/>
    <w:rsid w:val="00FA0EFA"/>
    <w:rsid w:val="00FC58CE"/>
    <w:rsid w:val="00FC7436"/>
    <w:rsid w:val="00FD18F6"/>
    <w:rsid w:val="00FD4002"/>
    <w:rsid w:val="00FD401D"/>
    <w:rsid w:val="00FD6739"/>
    <w:rsid w:val="00FE4B42"/>
    <w:rsid w:val="00FE7BE9"/>
    <w:rsid w:val="00FF4119"/>
    <w:rsid w:val="00FF6DB3"/>
    <w:rsid w:val="00FF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96F077-D33F-4572-BFB9-F6170C3E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45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C02DD"/>
    <w:pPr>
      <w:suppressAutoHyphens/>
      <w:autoSpaceDE w:val="0"/>
      <w:autoSpaceDN w:val="0"/>
      <w:spacing w:before="240"/>
      <w:ind w:left="1049" w:hanging="340"/>
      <w:outlineLvl w:val="0"/>
    </w:pPr>
    <w:rPr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C02DD"/>
    <w:rPr>
      <w:b/>
      <w:bCs/>
      <w:caps/>
      <w:sz w:val="24"/>
      <w:szCs w:val="24"/>
    </w:rPr>
  </w:style>
  <w:style w:type="paragraph" w:styleId="a3">
    <w:name w:val="No Spacing"/>
    <w:uiPriority w:val="1"/>
    <w:qFormat/>
    <w:rsid w:val="001C02DD"/>
    <w:pPr>
      <w:autoSpaceDE w:val="0"/>
      <w:autoSpaceDN w:val="0"/>
      <w:jc w:val="both"/>
    </w:pPr>
    <w:rPr>
      <w:sz w:val="24"/>
      <w:szCs w:val="24"/>
    </w:rPr>
  </w:style>
  <w:style w:type="paragraph" w:customStyle="1" w:styleId="a4">
    <w:name w:val="Формула"/>
    <w:basedOn w:val="a"/>
    <w:autoRedefine/>
    <w:rsid w:val="00505450"/>
    <w:pPr>
      <w:spacing w:before="120" w:after="120" w:line="360" w:lineRule="auto"/>
      <w:jc w:val="right"/>
    </w:pPr>
    <w:rPr>
      <w:sz w:val="28"/>
      <w:szCs w:val="28"/>
    </w:rPr>
  </w:style>
  <w:style w:type="character" w:styleId="a5">
    <w:name w:val="Placeholder Text"/>
    <w:basedOn w:val="a0"/>
    <w:uiPriority w:val="99"/>
    <w:semiHidden/>
    <w:rsid w:val="001A1F7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A1F7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1F7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80DF1"/>
    <w:pPr>
      <w:ind w:left="720"/>
      <w:contextualSpacing/>
    </w:pPr>
  </w:style>
  <w:style w:type="paragraph" w:customStyle="1" w:styleId="a9">
    <w:name w:val="З_Текст_Диплом"/>
    <w:basedOn w:val="a"/>
    <w:link w:val="aa"/>
    <w:qFormat/>
    <w:rsid w:val="00C42C1E"/>
    <w:pPr>
      <w:ind w:firstLine="709"/>
      <w:jc w:val="both"/>
    </w:pPr>
    <w:rPr>
      <w:rFonts w:eastAsia="Calibri"/>
      <w:sz w:val="22"/>
      <w:szCs w:val="22"/>
      <w:lang w:eastAsia="en-US"/>
    </w:rPr>
  </w:style>
  <w:style w:type="character" w:customStyle="1" w:styleId="aa">
    <w:name w:val="З_Текст_Диплом Знак"/>
    <w:link w:val="a9"/>
    <w:rsid w:val="00C42C1E"/>
    <w:rPr>
      <w:rFonts w:eastAsia="Calibri"/>
      <w:sz w:val="22"/>
      <w:szCs w:val="22"/>
      <w:lang w:eastAsia="en-US"/>
    </w:rPr>
  </w:style>
  <w:style w:type="paragraph" w:customStyle="1" w:styleId="ab">
    <w:name w:val="З_Фрм_Диплом"/>
    <w:basedOn w:val="a"/>
    <w:link w:val="ac"/>
    <w:autoRedefine/>
    <w:qFormat/>
    <w:rsid w:val="0066288F"/>
    <w:pPr>
      <w:tabs>
        <w:tab w:val="center" w:pos="4820"/>
        <w:tab w:val="right" w:pos="9072"/>
      </w:tabs>
      <w:ind w:firstLine="284"/>
      <w:jc w:val="both"/>
    </w:pPr>
    <w:rPr>
      <w:rFonts w:eastAsiaTheme="minorEastAsia"/>
      <w:sz w:val="22"/>
      <w:szCs w:val="22"/>
      <w:lang w:eastAsia="en-US"/>
    </w:rPr>
  </w:style>
  <w:style w:type="character" w:customStyle="1" w:styleId="ac">
    <w:name w:val="З_Фрм_Диплом Знак"/>
    <w:link w:val="ab"/>
    <w:rsid w:val="0066288F"/>
    <w:rPr>
      <w:rFonts w:eastAsiaTheme="minorEastAsi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9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980CFE-9997-41D4-9142-12A1FE09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vvs</dc:creator>
  <cp:lastModifiedBy>Учетная запись Майкрософт</cp:lastModifiedBy>
  <cp:revision>8</cp:revision>
  <dcterms:created xsi:type="dcterms:W3CDTF">2021-03-16T12:01:00Z</dcterms:created>
  <dcterms:modified xsi:type="dcterms:W3CDTF">2021-03-28T16:54:00Z</dcterms:modified>
</cp:coreProperties>
</file>